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01AC1B1A" w:rsidR="00F42364" w:rsidRPr="001334CA" w:rsidRDefault="00AC2072" w:rsidP="008B300E">
      <w:pPr>
        <w:pStyle w:val="Rubrik1-utannr"/>
        <w:rPr>
          <w:lang w:val="en-GB"/>
        </w:rPr>
      </w:pPr>
      <w:r>
        <w:rPr>
          <w:sz w:val="48"/>
          <w:lang w:val="en-GB"/>
        </w:rPr>
        <w:t xml:space="preserve">Responsible sourcing </w:t>
      </w:r>
      <w:r w:rsidR="00BA630E">
        <w:rPr>
          <w:sz w:val="48"/>
          <w:lang w:val="en-GB"/>
        </w:rPr>
        <w:t>instruction</w:t>
      </w:r>
      <w:r w:rsidR="001E32A6">
        <w:rPr>
          <w:sz w:val="48"/>
          <w:lang w:val="en-GB"/>
        </w:rPr>
        <w:t xml:space="preserve"> </w:t>
      </w:r>
      <w:r w:rsidR="004841E3">
        <w:rPr>
          <w:sz w:val="48"/>
          <w:lang w:val="en-GB"/>
        </w:rPr>
        <w:t>template</w:t>
      </w:r>
    </w:p>
    <w:p w14:paraId="5CAAE45C" w14:textId="77777777" w:rsidR="000A237A" w:rsidRPr="001334CA" w:rsidRDefault="000A237A" w:rsidP="000A237A">
      <w:pPr>
        <w:rPr>
          <w:lang w:val="en-GB"/>
        </w:rPr>
      </w:pPr>
    </w:p>
    <w:p w14:paraId="4B0848CF" w14:textId="1ACAA033" w:rsidR="00E71FBA" w:rsidRPr="00E71FBA" w:rsidRDefault="00E71FBA" w:rsidP="00E71FBA">
      <w:pPr>
        <w:spacing w:line="360" w:lineRule="auto"/>
        <w:rPr>
          <w:lang w:val="en-GB"/>
        </w:rPr>
      </w:pPr>
      <w:r w:rsidRPr="00E71FBA">
        <w:rPr>
          <w:lang w:val="en-GB"/>
        </w:rPr>
        <w:t xml:space="preserve">Purchasing instructions typically cover a wide range of topics. This template focuses specifically on </w:t>
      </w:r>
      <w:r w:rsidRPr="00E71FBA">
        <w:rPr>
          <w:b/>
          <w:bCs/>
          <w:lang w:val="en-GB"/>
        </w:rPr>
        <w:t>responsible sourcing</w:t>
      </w:r>
      <w:r w:rsidRPr="00E71FBA">
        <w:rPr>
          <w:lang w:val="en-GB"/>
        </w:rPr>
        <w:t xml:space="preserve"> and is designed to be integrated into your company’s existing purchasing instruction.</w:t>
      </w:r>
    </w:p>
    <w:p w14:paraId="791CFFFF" w14:textId="185E7FC9" w:rsidR="00E71FBA" w:rsidRDefault="00E71FBA" w:rsidP="00E71FBA">
      <w:pPr>
        <w:spacing w:line="360" w:lineRule="auto"/>
        <w:rPr>
          <w:lang w:val="en-GB"/>
        </w:rPr>
      </w:pPr>
      <w:r w:rsidRPr="00E71FBA">
        <w:rPr>
          <w:lang w:val="en-GB"/>
        </w:rPr>
        <w:t xml:space="preserve">The content is aligned with the organisational structure illustrated below. Please adapt the [functions in brackets] to match your organisation’s roles and responsibilities. </w:t>
      </w:r>
    </w:p>
    <w:p w14:paraId="6D02AD98" w14:textId="7E45C9C5" w:rsidR="00E71FBA" w:rsidRDefault="00E71FBA" w:rsidP="00E71FBA">
      <w:pPr>
        <w:spacing w:line="360" w:lineRule="auto"/>
        <w:rPr>
          <w:lang w:val="en-GB"/>
        </w:rPr>
      </w:pPr>
      <w:r w:rsidRPr="00E71FBA">
        <w:rPr>
          <w:lang w:val="en-GB"/>
        </w:rPr>
        <w:t xml:space="preserve">In some companies, the </w:t>
      </w:r>
      <w:r w:rsidR="00D7063D">
        <w:rPr>
          <w:lang w:val="en-GB"/>
        </w:rPr>
        <w:t>Sustainability</w:t>
      </w:r>
      <w:r w:rsidRPr="00E71FBA">
        <w:rPr>
          <w:lang w:val="en-GB"/>
        </w:rPr>
        <w:t xml:space="preserve"> Manager (or equivalent </w:t>
      </w:r>
      <w:r>
        <w:rPr>
          <w:lang w:val="en-GB"/>
        </w:rPr>
        <w:t>function</w:t>
      </w:r>
      <w:r w:rsidRPr="00E71FBA">
        <w:rPr>
          <w:lang w:val="en-GB"/>
        </w:rPr>
        <w:t xml:space="preserve">) may </w:t>
      </w:r>
      <w:r w:rsidR="00662E37">
        <w:rPr>
          <w:lang w:val="en-GB"/>
        </w:rPr>
        <w:t>belong to</w:t>
      </w:r>
      <w:r w:rsidRPr="00E71FBA">
        <w:rPr>
          <w:lang w:val="en-GB"/>
        </w:rPr>
        <w:t xml:space="preserve"> the Sustainability Department rather than </w:t>
      </w:r>
      <w:r w:rsidR="004E6311">
        <w:rPr>
          <w:lang w:val="en-GB"/>
        </w:rPr>
        <w:t xml:space="preserve">the </w:t>
      </w:r>
      <w:r w:rsidRPr="00E71FBA">
        <w:rPr>
          <w:lang w:val="en-GB"/>
        </w:rPr>
        <w:t>Procurement</w:t>
      </w:r>
      <w:r>
        <w:rPr>
          <w:lang w:val="en-GB"/>
        </w:rPr>
        <w:t xml:space="preserve"> Department</w:t>
      </w:r>
      <w:r w:rsidRPr="00E71FBA">
        <w:rPr>
          <w:lang w:val="en-GB"/>
        </w:rPr>
        <w:t>.</w:t>
      </w:r>
    </w:p>
    <w:p w14:paraId="4A5A8A7F" w14:textId="13478343" w:rsidR="003260EA" w:rsidRDefault="003260EA" w:rsidP="00BA630E">
      <w:pPr>
        <w:spacing w:line="360" w:lineRule="auto"/>
        <w:rPr>
          <w:lang w:val="en-GB"/>
        </w:rPr>
      </w:pPr>
      <w:r w:rsidRPr="003260EA">
        <w:rPr>
          <w:lang w:val="en-GB"/>
        </w:rPr>
        <w:t xml:space="preserve">Footnotes provide guidance for </w:t>
      </w:r>
      <w:r w:rsidR="00FE4CA0">
        <w:rPr>
          <w:lang w:val="en-GB"/>
        </w:rPr>
        <w:t xml:space="preserve">your </w:t>
      </w:r>
      <w:r>
        <w:rPr>
          <w:lang w:val="en-GB"/>
        </w:rPr>
        <w:t>understanding and integrati</w:t>
      </w:r>
      <w:r w:rsidR="008D4EAE">
        <w:rPr>
          <w:lang w:val="en-GB"/>
        </w:rPr>
        <w:t>on of</w:t>
      </w:r>
      <w:r>
        <w:rPr>
          <w:lang w:val="en-GB"/>
        </w:rPr>
        <w:t xml:space="preserve"> the template </w:t>
      </w:r>
      <w:r w:rsidR="008D4EAE">
        <w:rPr>
          <w:lang w:val="en-GB"/>
        </w:rPr>
        <w:t>into</w:t>
      </w:r>
      <w:r>
        <w:rPr>
          <w:lang w:val="en-GB"/>
        </w:rPr>
        <w:t xml:space="preserve"> your purchasing instruction</w:t>
      </w:r>
      <w:r w:rsidRPr="003260EA">
        <w:rPr>
          <w:lang w:val="en-GB"/>
        </w:rPr>
        <w:t>—delete them, except those referencing sources.</w:t>
      </w:r>
    </w:p>
    <w:p w14:paraId="44D4DD81" w14:textId="7FA75679" w:rsidR="00FE5C7E" w:rsidRDefault="00FE5C7E" w:rsidP="00FE5C7E">
      <w:pPr>
        <w:spacing w:line="360" w:lineRule="auto"/>
        <w:rPr>
          <w:lang w:val="en-GB"/>
        </w:rPr>
      </w:pPr>
      <w:r>
        <w:rPr>
          <w:lang w:val="en-GB"/>
        </w:rPr>
        <w:t xml:space="preserve">Note that according to the Corporate Sustainability Due Diligence Directive, you </w:t>
      </w:r>
      <w:r w:rsidRPr="00E57958">
        <w:rPr>
          <w:lang w:val="en-GB"/>
        </w:rPr>
        <w:t xml:space="preserve">shall </w:t>
      </w:r>
      <w:r>
        <w:rPr>
          <w:lang w:val="en-GB"/>
        </w:rPr>
        <w:t xml:space="preserve">develop this </w:t>
      </w:r>
      <w:r w:rsidR="00F54908">
        <w:rPr>
          <w:lang w:val="en-GB"/>
        </w:rPr>
        <w:t>instruction</w:t>
      </w:r>
      <w:r>
        <w:rPr>
          <w:lang w:val="en-GB"/>
        </w:rPr>
        <w:t xml:space="preserve"> </w:t>
      </w:r>
      <w:r w:rsidRPr="00E57958">
        <w:rPr>
          <w:lang w:val="en-GB"/>
        </w:rPr>
        <w:t xml:space="preserve">in consultation with </w:t>
      </w:r>
      <w:r>
        <w:rPr>
          <w:lang w:val="en-GB"/>
        </w:rPr>
        <w:t xml:space="preserve">your </w:t>
      </w:r>
      <w:r w:rsidRPr="00E57958">
        <w:rPr>
          <w:lang w:val="en-GB"/>
        </w:rPr>
        <w:t>employees and their representatives</w:t>
      </w:r>
      <w:r>
        <w:rPr>
          <w:lang w:val="en-GB"/>
        </w:rPr>
        <w:t>.</w:t>
      </w:r>
    </w:p>
    <w:p w14:paraId="656207B9" w14:textId="739993B6" w:rsidR="00BA630E" w:rsidRDefault="00BA630E" w:rsidP="00BA630E">
      <w:pPr>
        <w:spacing w:line="360" w:lineRule="auto"/>
        <w:rPr>
          <w:lang w:val="en-GB"/>
        </w:rPr>
      </w:pPr>
      <w:r>
        <w:rPr>
          <w:b/>
          <w:bCs/>
          <w:noProof/>
          <w:lang w:val="en-GB"/>
        </w:rPr>
        <w:drawing>
          <wp:inline distT="0" distB="0" distL="0" distR="0" wp14:anchorId="51F3F261" wp14:editId="76E7BE91">
            <wp:extent cx="4859655" cy="2994945"/>
            <wp:effectExtent l="0" t="0" r="17145" b="15240"/>
            <wp:docPr id="14060300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3910D6" w14:textId="4878918B" w:rsidR="004841E3" w:rsidRPr="00495F9F" w:rsidRDefault="00E71FBA" w:rsidP="001E32A6">
      <w:pPr>
        <w:spacing w:line="360" w:lineRule="auto"/>
        <w:rPr>
          <w:b/>
          <w:bCs/>
          <w:sz w:val="28"/>
          <w:szCs w:val="32"/>
          <w:lang w:val="en-GB"/>
        </w:rPr>
      </w:pPr>
      <w:r w:rsidRPr="00495F9F">
        <w:rPr>
          <w:b/>
          <w:bCs/>
          <w:sz w:val="28"/>
          <w:szCs w:val="32"/>
          <w:lang w:val="en-GB"/>
        </w:rPr>
        <w:lastRenderedPageBreak/>
        <w:t xml:space="preserve">Responsible Sourcing </w:t>
      </w:r>
    </w:p>
    <w:p w14:paraId="0F12438C" w14:textId="77777777" w:rsidR="001E32A6" w:rsidRDefault="001E32A6" w:rsidP="001E32A6">
      <w:pPr>
        <w:spacing w:line="360" w:lineRule="auto"/>
        <w:rPr>
          <w:lang w:val="en-GB"/>
        </w:rPr>
        <w:sectPr w:rsidR="001E32A6" w:rsidSect="00760DDA">
          <w:headerReference w:type="even" r:id="rId16"/>
          <w:headerReference w:type="default" r:id="rId17"/>
          <w:footerReference w:type="even" r:id="rId18"/>
          <w:footerReference w:type="default" r:id="rId19"/>
          <w:headerReference w:type="first" r:id="rId20"/>
          <w:footerReference w:type="first" r:id="rId21"/>
          <w:pgSz w:w="11906" w:h="16838"/>
          <w:pgMar w:top="2676" w:right="2268" w:bottom="2098" w:left="1985" w:header="993" w:footer="680" w:gutter="0"/>
          <w:cols w:space="708"/>
          <w:docGrid w:linePitch="360"/>
        </w:sectPr>
      </w:pPr>
    </w:p>
    <w:p w14:paraId="1AF6A69F" w14:textId="7D29387A" w:rsidR="001E32A6" w:rsidRPr="00495F9F" w:rsidRDefault="001E32A6" w:rsidP="001E32A6">
      <w:pPr>
        <w:spacing w:line="360" w:lineRule="auto"/>
        <w:rPr>
          <w:b/>
          <w:bCs/>
          <w:sz w:val="22"/>
          <w:lang w:val="en-GB"/>
        </w:rPr>
      </w:pPr>
      <w:r w:rsidRPr="00495F9F">
        <w:rPr>
          <w:b/>
          <w:bCs/>
          <w:sz w:val="22"/>
          <w:lang w:val="en-GB"/>
        </w:rPr>
        <w:t xml:space="preserve">1. </w:t>
      </w:r>
      <w:r w:rsidR="00BA630E" w:rsidRPr="00495F9F">
        <w:rPr>
          <w:b/>
          <w:bCs/>
          <w:sz w:val="22"/>
          <w:lang w:val="en-GB"/>
        </w:rPr>
        <w:t>Responsibilities</w:t>
      </w:r>
    </w:p>
    <w:p w14:paraId="1761AE7F" w14:textId="01CA8C9E" w:rsidR="00BA630E" w:rsidRPr="00BA630E" w:rsidRDefault="00BA630E" w:rsidP="00BA630E">
      <w:pPr>
        <w:spacing w:line="360" w:lineRule="auto"/>
        <w:rPr>
          <w:sz w:val="18"/>
          <w:szCs w:val="18"/>
          <w:lang w:val="en-GB"/>
        </w:rPr>
      </w:pPr>
      <w:r w:rsidRPr="00BA630E">
        <w:rPr>
          <w:sz w:val="18"/>
          <w:szCs w:val="18"/>
          <w:lang w:val="en-GB"/>
        </w:rPr>
        <w:t>[Chief Procurement Officer] is responsible for appointing one or more persons in management positions ([Category Managers]) as responsible for human rights</w:t>
      </w:r>
      <w:r w:rsidR="00D019E6">
        <w:rPr>
          <w:sz w:val="18"/>
          <w:szCs w:val="18"/>
          <w:lang w:val="en-GB"/>
        </w:rPr>
        <w:t xml:space="preserve">, environment and business ethics due diligence </w:t>
      </w:r>
      <w:r w:rsidR="004E6311">
        <w:rPr>
          <w:sz w:val="18"/>
          <w:szCs w:val="18"/>
          <w:lang w:val="en-GB"/>
        </w:rPr>
        <w:t>in the supply chain</w:t>
      </w:r>
      <w:r w:rsidR="004E6311" w:rsidRPr="004E6311">
        <w:rPr>
          <w:sz w:val="18"/>
          <w:szCs w:val="18"/>
          <w:lang w:val="en-GB"/>
        </w:rPr>
        <w:t>—</w:t>
      </w:r>
      <w:r w:rsidRPr="00BA630E">
        <w:rPr>
          <w:sz w:val="18"/>
          <w:szCs w:val="18"/>
          <w:lang w:val="en-GB"/>
        </w:rPr>
        <w:t xml:space="preserve">including responsible purchasing practices. </w:t>
      </w:r>
    </w:p>
    <w:p w14:paraId="6461A82A" w14:textId="6D046240" w:rsidR="002933DC" w:rsidRDefault="004E6311" w:rsidP="00BA630E">
      <w:pPr>
        <w:spacing w:line="360" w:lineRule="auto"/>
        <w:rPr>
          <w:sz w:val="18"/>
          <w:szCs w:val="18"/>
          <w:lang w:val="en-GB"/>
        </w:rPr>
      </w:pPr>
      <w:r w:rsidRPr="004E6311">
        <w:rPr>
          <w:sz w:val="18"/>
          <w:szCs w:val="18"/>
          <w:lang w:val="en-GB"/>
        </w:rPr>
        <w:t xml:space="preserve">[Category Managers] are responsible for assigning responsibility for implementing </w:t>
      </w:r>
      <w:r w:rsidR="00D019E6">
        <w:rPr>
          <w:sz w:val="18"/>
          <w:szCs w:val="18"/>
          <w:lang w:val="en-GB"/>
        </w:rPr>
        <w:t>due diligence</w:t>
      </w:r>
      <w:r w:rsidRPr="004E6311">
        <w:rPr>
          <w:sz w:val="18"/>
          <w:szCs w:val="18"/>
          <w:lang w:val="en-GB"/>
        </w:rPr>
        <w:t xml:space="preserve"> in the supply chain—including responsible purchasing practices—to those employees whose decisions are most likely to</w:t>
      </w:r>
      <w:r w:rsidRPr="00BA630E">
        <w:rPr>
          <w:sz w:val="18"/>
          <w:szCs w:val="18"/>
          <w:lang w:val="en-GB"/>
        </w:rPr>
        <w:t xml:space="preserve"> increase or decrease risks of adverse </w:t>
      </w:r>
      <w:r>
        <w:rPr>
          <w:sz w:val="18"/>
          <w:szCs w:val="18"/>
          <w:lang w:val="en-GB"/>
        </w:rPr>
        <w:t>impacts, specifically:</w:t>
      </w:r>
      <w:r w:rsidRPr="004E6311">
        <w:rPr>
          <w:sz w:val="18"/>
          <w:szCs w:val="18"/>
          <w:lang w:val="en-GB"/>
        </w:rPr>
        <w:t xml:space="preserve"> </w:t>
      </w:r>
    </w:p>
    <w:p w14:paraId="29821A91" w14:textId="77777777" w:rsidR="002933DC" w:rsidRPr="002933DC" w:rsidRDefault="004E6311" w:rsidP="002933DC">
      <w:pPr>
        <w:pStyle w:val="Liststycke"/>
        <w:numPr>
          <w:ilvl w:val="0"/>
          <w:numId w:val="21"/>
        </w:numPr>
        <w:spacing w:line="360" w:lineRule="auto"/>
        <w:rPr>
          <w:sz w:val="18"/>
          <w:szCs w:val="18"/>
          <w:lang w:val="en-GB"/>
        </w:rPr>
      </w:pPr>
      <w:r w:rsidRPr="002933DC">
        <w:rPr>
          <w:sz w:val="18"/>
          <w:szCs w:val="18"/>
          <w:lang w:val="en-GB"/>
        </w:rPr>
        <w:t>[Procurement Managers</w:t>
      </w:r>
    </w:p>
    <w:p w14:paraId="6340396F" w14:textId="35592AAA" w:rsidR="002933DC" w:rsidRPr="002933DC" w:rsidRDefault="002933DC" w:rsidP="002933DC">
      <w:pPr>
        <w:pStyle w:val="Liststycke"/>
        <w:numPr>
          <w:ilvl w:val="0"/>
          <w:numId w:val="21"/>
        </w:numPr>
        <w:spacing w:line="360" w:lineRule="auto"/>
        <w:rPr>
          <w:sz w:val="18"/>
          <w:szCs w:val="18"/>
          <w:lang w:val="en-GB"/>
        </w:rPr>
      </w:pPr>
      <w:r>
        <w:rPr>
          <w:sz w:val="18"/>
          <w:szCs w:val="18"/>
          <w:lang w:val="en-GB"/>
        </w:rPr>
        <w:t>Contract</w:t>
      </w:r>
      <w:r w:rsidR="00D7063D" w:rsidRPr="002933DC">
        <w:rPr>
          <w:sz w:val="18"/>
          <w:szCs w:val="18"/>
          <w:lang w:val="en-GB"/>
        </w:rPr>
        <w:t xml:space="preserve"> Manager</w:t>
      </w:r>
      <w:r w:rsidR="004E6311" w:rsidRPr="002933DC">
        <w:rPr>
          <w:sz w:val="18"/>
          <w:szCs w:val="18"/>
          <w:lang w:val="en-GB"/>
        </w:rPr>
        <w:t>s</w:t>
      </w:r>
    </w:p>
    <w:p w14:paraId="1E85861E" w14:textId="46F39448" w:rsidR="004E6311" w:rsidRPr="002933DC" w:rsidRDefault="002933DC" w:rsidP="002933DC">
      <w:pPr>
        <w:pStyle w:val="Liststycke"/>
        <w:numPr>
          <w:ilvl w:val="0"/>
          <w:numId w:val="21"/>
        </w:numPr>
        <w:spacing w:line="360" w:lineRule="auto"/>
        <w:rPr>
          <w:sz w:val="18"/>
          <w:szCs w:val="18"/>
          <w:lang w:val="en-GB"/>
        </w:rPr>
      </w:pPr>
      <w:r>
        <w:rPr>
          <w:sz w:val="18"/>
          <w:szCs w:val="18"/>
          <w:lang w:val="en-GB"/>
        </w:rPr>
        <w:t>Sustainability</w:t>
      </w:r>
      <w:r w:rsidR="004E6311" w:rsidRPr="002933DC">
        <w:rPr>
          <w:sz w:val="18"/>
          <w:szCs w:val="18"/>
          <w:lang w:val="en-GB"/>
        </w:rPr>
        <w:t xml:space="preserve"> Managers].</w:t>
      </w:r>
    </w:p>
    <w:p w14:paraId="0CEECADD" w14:textId="0E70B65E" w:rsidR="00BA630E" w:rsidRDefault="00BA630E" w:rsidP="00BA630E">
      <w:pPr>
        <w:spacing w:line="360" w:lineRule="auto"/>
        <w:rPr>
          <w:sz w:val="18"/>
          <w:szCs w:val="18"/>
          <w:lang w:val="en-GB"/>
        </w:rPr>
      </w:pPr>
      <w:r w:rsidRPr="00BA630E">
        <w:rPr>
          <w:sz w:val="18"/>
          <w:szCs w:val="18"/>
          <w:lang w:val="en-GB"/>
        </w:rPr>
        <w:t>[Chief Procurement Officer] is responsible for ensuring that persons</w:t>
      </w:r>
      <w:r>
        <w:rPr>
          <w:sz w:val="18"/>
          <w:szCs w:val="18"/>
          <w:lang w:val="en-GB"/>
        </w:rPr>
        <w:t xml:space="preserve"> in management positions</w:t>
      </w:r>
      <w:r w:rsidRPr="00BA630E">
        <w:rPr>
          <w:sz w:val="18"/>
          <w:szCs w:val="18"/>
          <w:lang w:val="en-GB"/>
        </w:rPr>
        <w:t xml:space="preserve"> and </w:t>
      </w:r>
      <w:r w:rsidR="004E6311">
        <w:rPr>
          <w:sz w:val="18"/>
          <w:szCs w:val="18"/>
          <w:lang w:val="en-GB"/>
        </w:rPr>
        <w:t xml:space="preserve">those </w:t>
      </w:r>
      <w:r w:rsidRPr="00BA630E">
        <w:rPr>
          <w:sz w:val="18"/>
          <w:szCs w:val="18"/>
          <w:lang w:val="en-GB"/>
        </w:rPr>
        <w:t xml:space="preserve">employees </w:t>
      </w:r>
      <w:r>
        <w:rPr>
          <w:sz w:val="18"/>
          <w:szCs w:val="18"/>
          <w:lang w:val="en-GB"/>
        </w:rPr>
        <w:t xml:space="preserve">whose decisions are most likely to increase or decrease risks </w:t>
      </w:r>
      <w:r w:rsidR="00D7063D">
        <w:rPr>
          <w:sz w:val="18"/>
          <w:szCs w:val="18"/>
          <w:lang w:val="en-GB"/>
        </w:rPr>
        <w:t xml:space="preserve">of adverse impacts </w:t>
      </w:r>
      <w:r w:rsidRPr="00BA630E">
        <w:rPr>
          <w:sz w:val="18"/>
          <w:szCs w:val="18"/>
          <w:lang w:val="en-GB"/>
        </w:rPr>
        <w:t xml:space="preserve">are trained in </w:t>
      </w:r>
      <w:r w:rsidR="00D019E6">
        <w:rPr>
          <w:sz w:val="18"/>
          <w:szCs w:val="18"/>
          <w:lang w:val="en-GB"/>
        </w:rPr>
        <w:t>due diligence</w:t>
      </w:r>
      <w:r w:rsidR="004E6311" w:rsidRPr="004E6311">
        <w:rPr>
          <w:sz w:val="18"/>
          <w:szCs w:val="18"/>
          <w:lang w:val="en-GB"/>
        </w:rPr>
        <w:t>—</w:t>
      </w:r>
      <w:r w:rsidRPr="00BA630E">
        <w:rPr>
          <w:sz w:val="18"/>
          <w:szCs w:val="18"/>
          <w:lang w:val="en-GB"/>
        </w:rPr>
        <w:t>including responsible purchasing practices.</w:t>
      </w:r>
    </w:p>
    <w:p w14:paraId="2F7CD25C" w14:textId="76A85331" w:rsidR="0010668F" w:rsidRPr="00495F9F" w:rsidRDefault="004329B5" w:rsidP="00BA630E">
      <w:pPr>
        <w:spacing w:line="360" w:lineRule="auto"/>
        <w:rPr>
          <w:b/>
          <w:bCs/>
          <w:sz w:val="22"/>
          <w:lang w:val="en-GB"/>
        </w:rPr>
      </w:pPr>
      <w:r w:rsidRPr="00495F9F">
        <w:rPr>
          <w:b/>
          <w:bCs/>
          <w:sz w:val="22"/>
          <w:lang w:val="en-GB"/>
        </w:rPr>
        <w:t xml:space="preserve">2. </w:t>
      </w:r>
      <w:r w:rsidR="00DD6602" w:rsidRPr="00495F9F">
        <w:rPr>
          <w:b/>
          <w:bCs/>
          <w:sz w:val="22"/>
          <w:lang w:val="en-GB"/>
        </w:rPr>
        <w:t>Identify and assess adverse impacts</w:t>
      </w:r>
    </w:p>
    <w:p w14:paraId="4726BA18" w14:textId="3EB54C70" w:rsidR="00DA0680" w:rsidRPr="00495F9F" w:rsidRDefault="00306F42" w:rsidP="00DA0680">
      <w:pPr>
        <w:spacing w:line="360" w:lineRule="auto"/>
        <w:rPr>
          <w:b/>
          <w:bCs/>
          <w:sz w:val="18"/>
          <w:szCs w:val="18"/>
          <w:lang w:val="en-GB"/>
        </w:rPr>
      </w:pPr>
      <w:r w:rsidRPr="00495F9F">
        <w:rPr>
          <w:b/>
          <w:bCs/>
          <w:sz w:val="18"/>
          <w:szCs w:val="18"/>
          <w:lang w:val="en-GB"/>
        </w:rPr>
        <w:t>2.1 Prioritised purchasing categories</w:t>
      </w:r>
    </w:p>
    <w:p w14:paraId="39B86F83" w14:textId="5893613B" w:rsidR="00E846B3" w:rsidRPr="00A904BF" w:rsidRDefault="00E846B3" w:rsidP="00306F42">
      <w:pPr>
        <w:spacing w:line="360" w:lineRule="auto"/>
        <w:rPr>
          <w:sz w:val="18"/>
          <w:szCs w:val="18"/>
          <w:lang w:val="en-GB"/>
        </w:rPr>
      </w:pPr>
      <w:r w:rsidRPr="00E846B3">
        <w:rPr>
          <w:sz w:val="18"/>
          <w:szCs w:val="18"/>
          <w:lang w:val="en-GB"/>
        </w:rPr>
        <w:t>[Category Managers] shall, in consultation with [Procurement Managers</w:t>
      </w:r>
      <w:r w:rsidR="002933DC">
        <w:rPr>
          <w:sz w:val="18"/>
          <w:szCs w:val="18"/>
          <w:lang w:val="en-GB"/>
        </w:rPr>
        <w:t>, Contract Managers</w:t>
      </w:r>
      <w:r w:rsidRPr="00E846B3">
        <w:rPr>
          <w:sz w:val="18"/>
          <w:szCs w:val="18"/>
          <w:lang w:val="en-GB"/>
        </w:rPr>
        <w:t xml:space="preserve"> and </w:t>
      </w:r>
      <w:r w:rsidR="00D7063D">
        <w:rPr>
          <w:sz w:val="18"/>
          <w:szCs w:val="18"/>
          <w:lang w:val="en-GB"/>
        </w:rPr>
        <w:t>Sustainability Manager</w:t>
      </w:r>
      <w:r w:rsidRPr="00E846B3">
        <w:rPr>
          <w:sz w:val="18"/>
          <w:szCs w:val="18"/>
          <w:lang w:val="en-GB"/>
        </w:rPr>
        <w:t>s], [annually/every three years]</w:t>
      </w:r>
      <w:r w:rsidR="0097229C">
        <w:rPr>
          <w:rStyle w:val="Fotnotsreferens"/>
          <w:sz w:val="18"/>
          <w:szCs w:val="18"/>
          <w:lang w:val="en-GB"/>
        </w:rPr>
        <w:footnoteReference w:id="1"/>
      </w:r>
      <w:r w:rsidRPr="00E846B3">
        <w:rPr>
          <w:sz w:val="18"/>
          <w:szCs w:val="18"/>
          <w:lang w:val="en-GB"/>
        </w:rPr>
        <w:t xml:space="preserve"> identify prioritised purchasing categories based </w:t>
      </w:r>
      <w:r>
        <w:rPr>
          <w:sz w:val="18"/>
          <w:szCs w:val="18"/>
          <w:lang w:val="en-GB"/>
        </w:rPr>
        <w:t xml:space="preserve">on </w:t>
      </w:r>
      <w:r w:rsidRPr="00E846B3">
        <w:rPr>
          <w:sz w:val="18"/>
          <w:szCs w:val="18"/>
          <w:lang w:val="en-GB"/>
        </w:rPr>
        <w:t>where adverse impacts are most likely and most severe</w:t>
      </w:r>
      <w:r>
        <w:rPr>
          <w:sz w:val="18"/>
          <w:szCs w:val="18"/>
          <w:lang w:val="en-GB"/>
        </w:rPr>
        <w:t xml:space="preserve"> as well as significant spend</w:t>
      </w:r>
      <w:r w:rsidRPr="00E846B3">
        <w:rPr>
          <w:sz w:val="18"/>
          <w:szCs w:val="18"/>
          <w:lang w:val="en-GB"/>
        </w:rPr>
        <w:t>.</w:t>
      </w:r>
      <w:r w:rsidR="00A904BF">
        <w:rPr>
          <w:sz w:val="18"/>
          <w:szCs w:val="18"/>
          <w:lang w:val="en-GB"/>
        </w:rPr>
        <w:t xml:space="preserve"> </w:t>
      </w:r>
      <w:r w:rsidR="00A904BF" w:rsidRPr="00B231F5">
        <w:rPr>
          <w:sz w:val="18"/>
          <w:szCs w:val="18"/>
          <w:lang w:val="en-GB"/>
        </w:rPr>
        <w:t xml:space="preserve">The assessment shall cover the </w:t>
      </w:r>
      <w:r w:rsidR="00A904BF">
        <w:rPr>
          <w:sz w:val="18"/>
          <w:szCs w:val="18"/>
          <w:lang w:val="en-GB"/>
        </w:rPr>
        <w:t xml:space="preserve">entire </w:t>
      </w:r>
      <w:r w:rsidR="00A904BF" w:rsidRPr="00B231F5">
        <w:rPr>
          <w:sz w:val="18"/>
          <w:szCs w:val="18"/>
          <w:lang w:val="en-GB"/>
        </w:rPr>
        <w:t>supply chain’s operational context.</w:t>
      </w:r>
    </w:p>
    <w:p w14:paraId="60883718" w14:textId="107A260F" w:rsidR="00306F42" w:rsidRPr="00495F9F" w:rsidRDefault="00306F42" w:rsidP="00306F42">
      <w:pPr>
        <w:spacing w:line="360" w:lineRule="auto"/>
        <w:rPr>
          <w:b/>
          <w:bCs/>
          <w:sz w:val="18"/>
          <w:szCs w:val="18"/>
          <w:lang w:val="en-GB"/>
        </w:rPr>
      </w:pPr>
      <w:r w:rsidRPr="00495F9F">
        <w:rPr>
          <w:b/>
          <w:bCs/>
          <w:sz w:val="18"/>
          <w:szCs w:val="18"/>
          <w:lang w:val="en-GB"/>
        </w:rPr>
        <w:t>2.2 Supply chain mappings</w:t>
      </w:r>
    </w:p>
    <w:p w14:paraId="2FC2A623" w14:textId="69F83D22" w:rsidR="00306F42" w:rsidRDefault="00306F42" w:rsidP="00306F42">
      <w:pPr>
        <w:spacing w:line="360" w:lineRule="auto"/>
        <w:rPr>
          <w:sz w:val="18"/>
          <w:szCs w:val="18"/>
          <w:lang w:val="en-GB"/>
        </w:rPr>
      </w:pPr>
      <w:r w:rsidRPr="00306F42">
        <w:rPr>
          <w:sz w:val="18"/>
          <w:szCs w:val="18"/>
          <w:lang w:val="en-GB"/>
        </w:rPr>
        <w:t>[</w:t>
      </w:r>
      <w:r w:rsidR="00D7063D">
        <w:rPr>
          <w:sz w:val="18"/>
          <w:szCs w:val="18"/>
          <w:lang w:val="en-GB"/>
        </w:rPr>
        <w:t>Sustainability Manager</w:t>
      </w:r>
      <w:r w:rsidRPr="00306F42">
        <w:rPr>
          <w:sz w:val="18"/>
          <w:szCs w:val="18"/>
          <w:lang w:val="en-GB"/>
        </w:rPr>
        <w:t>s] shall</w:t>
      </w:r>
      <w:r>
        <w:rPr>
          <w:sz w:val="18"/>
          <w:szCs w:val="18"/>
          <w:lang w:val="en-GB"/>
        </w:rPr>
        <w:t>, in consultation with [Category Managers, Procurement Managers and Contract Managers],</w:t>
      </w:r>
      <w:r w:rsidRPr="00306F42">
        <w:rPr>
          <w:sz w:val="18"/>
          <w:szCs w:val="18"/>
          <w:lang w:val="en-GB"/>
        </w:rPr>
        <w:t xml:space="preserve"> map the material flows and likely countries of </w:t>
      </w:r>
      <w:r>
        <w:rPr>
          <w:sz w:val="18"/>
          <w:szCs w:val="18"/>
          <w:lang w:val="en-GB"/>
        </w:rPr>
        <w:t>final</w:t>
      </w:r>
      <w:r w:rsidRPr="00306F42">
        <w:rPr>
          <w:sz w:val="18"/>
          <w:szCs w:val="18"/>
          <w:lang w:val="en-GB"/>
        </w:rPr>
        <w:t xml:space="preserve"> manufacturing, component manufacturing, smelting and refining, and raw material extraction of prioritised purchasing categories.</w:t>
      </w:r>
      <w:r w:rsidR="00030AC6">
        <w:rPr>
          <w:rStyle w:val="Fotnotsreferens"/>
          <w:sz w:val="18"/>
          <w:szCs w:val="18"/>
          <w:lang w:val="en-GB"/>
        </w:rPr>
        <w:footnoteReference w:id="2"/>
      </w:r>
      <w:r w:rsidRPr="00306F42">
        <w:rPr>
          <w:sz w:val="18"/>
          <w:szCs w:val="18"/>
          <w:lang w:val="en-GB"/>
        </w:rPr>
        <w:t xml:space="preserve"> </w:t>
      </w:r>
    </w:p>
    <w:p w14:paraId="6A1355C2" w14:textId="694AA16E" w:rsidR="00306F42" w:rsidRPr="00813E3C" w:rsidRDefault="00813E3C" w:rsidP="00306F42">
      <w:pPr>
        <w:spacing w:line="360" w:lineRule="auto"/>
        <w:rPr>
          <w:sz w:val="18"/>
          <w:szCs w:val="18"/>
          <w:lang w:val="en-GB"/>
        </w:rPr>
      </w:pPr>
      <w:r w:rsidRPr="00306F42">
        <w:rPr>
          <w:sz w:val="18"/>
          <w:szCs w:val="18"/>
          <w:lang w:val="en-GB"/>
        </w:rPr>
        <w:t>[</w:t>
      </w:r>
      <w:r w:rsidR="00D7063D">
        <w:rPr>
          <w:sz w:val="18"/>
          <w:szCs w:val="18"/>
          <w:lang w:val="en-GB"/>
        </w:rPr>
        <w:t>Sustainability Manager</w:t>
      </w:r>
      <w:r w:rsidRPr="00306F42">
        <w:rPr>
          <w:sz w:val="18"/>
          <w:szCs w:val="18"/>
          <w:lang w:val="en-GB"/>
        </w:rPr>
        <w:t>s]</w:t>
      </w:r>
      <w:r>
        <w:rPr>
          <w:sz w:val="18"/>
          <w:szCs w:val="18"/>
          <w:lang w:val="en-GB"/>
        </w:rPr>
        <w:t xml:space="preserve"> shall regularly update the </w:t>
      </w:r>
      <w:r w:rsidR="002933DC">
        <w:rPr>
          <w:sz w:val="18"/>
          <w:szCs w:val="18"/>
          <w:lang w:val="en-GB"/>
        </w:rPr>
        <w:t xml:space="preserve">supply chain </w:t>
      </w:r>
      <w:r>
        <w:rPr>
          <w:sz w:val="18"/>
          <w:szCs w:val="18"/>
          <w:lang w:val="en-GB"/>
        </w:rPr>
        <w:t>m</w:t>
      </w:r>
      <w:r w:rsidR="00306F42" w:rsidRPr="00306F42">
        <w:rPr>
          <w:sz w:val="18"/>
          <w:szCs w:val="18"/>
          <w:lang w:val="en-GB"/>
        </w:rPr>
        <w:t>appings based on confirmed supplier and location data gathered through supplier engagements</w:t>
      </w:r>
      <w:r w:rsidR="005D4A5C">
        <w:rPr>
          <w:sz w:val="18"/>
          <w:szCs w:val="18"/>
          <w:lang w:val="en-GB"/>
        </w:rPr>
        <w:t>, see section 3.2.</w:t>
      </w:r>
      <w:r w:rsidR="00A904BF">
        <w:rPr>
          <w:sz w:val="18"/>
          <w:szCs w:val="18"/>
          <w:lang w:val="en-GB"/>
        </w:rPr>
        <w:t>3</w:t>
      </w:r>
      <w:r w:rsidR="000A5502">
        <w:rPr>
          <w:sz w:val="18"/>
          <w:szCs w:val="18"/>
          <w:lang w:val="en-GB"/>
        </w:rPr>
        <w:t xml:space="preserve">. </w:t>
      </w:r>
    </w:p>
    <w:p w14:paraId="7B19C8A9" w14:textId="63737796" w:rsidR="00306F42" w:rsidRDefault="00306F42" w:rsidP="00306F42">
      <w:pPr>
        <w:spacing w:line="360" w:lineRule="auto"/>
        <w:rPr>
          <w:sz w:val="18"/>
          <w:szCs w:val="18"/>
          <w:lang w:val="en-GB"/>
        </w:rPr>
      </w:pPr>
      <w:r w:rsidRPr="00306F42">
        <w:rPr>
          <w:sz w:val="18"/>
          <w:szCs w:val="18"/>
          <w:lang w:val="en-GB"/>
        </w:rPr>
        <w:t>[[</w:t>
      </w:r>
      <w:r w:rsidR="00D7063D">
        <w:rPr>
          <w:sz w:val="18"/>
          <w:szCs w:val="18"/>
          <w:lang w:val="en-GB"/>
        </w:rPr>
        <w:t>Sustainability Manager</w:t>
      </w:r>
      <w:r w:rsidRPr="00306F42">
        <w:rPr>
          <w:sz w:val="18"/>
          <w:szCs w:val="18"/>
          <w:lang w:val="en-GB"/>
        </w:rPr>
        <w:t xml:space="preserve">s] shall, in consultation with [Category Managers], </w:t>
      </w:r>
      <w:r w:rsidR="00D019E6">
        <w:rPr>
          <w:sz w:val="18"/>
          <w:szCs w:val="18"/>
          <w:lang w:val="en-GB"/>
        </w:rPr>
        <w:lastRenderedPageBreak/>
        <w:t>d</w:t>
      </w:r>
      <w:r w:rsidRPr="00306F42">
        <w:rPr>
          <w:sz w:val="18"/>
          <w:szCs w:val="18"/>
          <w:lang w:val="en-GB"/>
        </w:rPr>
        <w:t>isclose confirmed supplier and location data on Open Supply Hub.]</w:t>
      </w:r>
      <w:r w:rsidR="00030AC6">
        <w:rPr>
          <w:rStyle w:val="Fotnotsreferens"/>
          <w:sz w:val="18"/>
          <w:szCs w:val="18"/>
          <w:lang w:val="en-GB"/>
        </w:rPr>
        <w:footnoteReference w:id="3"/>
      </w:r>
    </w:p>
    <w:p w14:paraId="31C3782C" w14:textId="3DB35247" w:rsidR="00306F42" w:rsidRPr="00495F9F" w:rsidRDefault="00306F42" w:rsidP="00306F42">
      <w:pPr>
        <w:spacing w:line="360" w:lineRule="auto"/>
        <w:rPr>
          <w:b/>
          <w:bCs/>
          <w:sz w:val="18"/>
          <w:szCs w:val="18"/>
          <w:lang w:val="en-GB"/>
        </w:rPr>
      </w:pPr>
      <w:r w:rsidRPr="00495F9F">
        <w:rPr>
          <w:b/>
          <w:bCs/>
          <w:sz w:val="18"/>
          <w:szCs w:val="18"/>
          <w:lang w:val="en-GB"/>
        </w:rPr>
        <w:t>2.3 Risk assessments</w:t>
      </w:r>
    </w:p>
    <w:p w14:paraId="6A3BE40F" w14:textId="28B2B945" w:rsidR="00306F42" w:rsidRDefault="00306F42" w:rsidP="00306F42">
      <w:pPr>
        <w:spacing w:line="360" w:lineRule="auto"/>
        <w:rPr>
          <w:sz w:val="18"/>
          <w:szCs w:val="18"/>
          <w:lang w:val="en-GB"/>
        </w:rPr>
      </w:pPr>
      <w:r w:rsidRPr="00306F42">
        <w:rPr>
          <w:sz w:val="18"/>
          <w:szCs w:val="18"/>
          <w:lang w:val="en-GB"/>
        </w:rPr>
        <w:t>[</w:t>
      </w:r>
      <w:r w:rsidR="00D7063D">
        <w:rPr>
          <w:sz w:val="18"/>
          <w:szCs w:val="18"/>
          <w:lang w:val="en-GB"/>
        </w:rPr>
        <w:t>Sustainability Manager</w:t>
      </w:r>
      <w:r w:rsidRPr="00306F42">
        <w:rPr>
          <w:sz w:val="18"/>
          <w:szCs w:val="18"/>
          <w:lang w:val="en-GB"/>
        </w:rPr>
        <w:t xml:space="preserve">s] shall regularly identify and assess adverse impacts in prioritised purchasing categories, </w:t>
      </w:r>
      <w:proofErr w:type="gramStart"/>
      <w:r w:rsidRPr="00306F42">
        <w:rPr>
          <w:sz w:val="18"/>
          <w:szCs w:val="18"/>
          <w:lang w:val="en-GB"/>
        </w:rPr>
        <w:t>taking into account</w:t>
      </w:r>
      <w:proofErr w:type="gramEnd"/>
      <w:r w:rsidRPr="00306F42">
        <w:rPr>
          <w:sz w:val="18"/>
          <w:szCs w:val="18"/>
          <w:lang w:val="en-GB"/>
        </w:rPr>
        <w:t xml:space="preserve"> geographic risks, sector risks and product risks.</w:t>
      </w:r>
      <w:r w:rsidR="00030AC6">
        <w:rPr>
          <w:rStyle w:val="Fotnotsreferens"/>
          <w:sz w:val="18"/>
          <w:szCs w:val="18"/>
          <w:lang w:val="en-GB"/>
        </w:rPr>
        <w:footnoteReference w:id="4"/>
      </w:r>
    </w:p>
    <w:tbl>
      <w:tblPr>
        <w:tblStyle w:val="Tabellrutnt"/>
        <w:tblW w:w="0" w:type="auto"/>
        <w:tblBorders>
          <w:top w:val="single" w:sz="2" w:space="0" w:color="C7DAE1"/>
          <w:left w:val="single" w:sz="2" w:space="0" w:color="C7DAE1"/>
          <w:bottom w:val="single" w:sz="2" w:space="0" w:color="C7DAE1"/>
          <w:right w:val="single" w:sz="2" w:space="0" w:color="C7DAE1"/>
          <w:insideH w:val="single" w:sz="2" w:space="0" w:color="C7DAE1"/>
          <w:insideV w:val="single" w:sz="2" w:space="0" w:color="C7DAE1"/>
        </w:tblBorders>
        <w:tblLook w:val="04A0" w:firstRow="1" w:lastRow="0" w:firstColumn="1" w:lastColumn="0" w:noHBand="0" w:noVBand="1"/>
      </w:tblPr>
      <w:tblGrid>
        <w:gridCol w:w="1047"/>
        <w:gridCol w:w="2419"/>
      </w:tblGrid>
      <w:tr w:rsidR="00FB2E32" w:rsidRPr="00C2718F" w14:paraId="44FFE12D" w14:textId="77777777" w:rsidTr="000A5502">
        <w:tc>
          <w:tcPr>
            <w:tcW w:w="846" w:type="dxa"/>
            <w:shd w:val="clear" w:color="auto" w:fill="C7DAE1"/>
          </w:tcPr>
          <w:p w14:paraId="6EBDBC32" w14:textId="3BAFEC2B" w:rsidR="00FB2E32" w:rsidRPr="00FB2E32" w:rsidRDefault="00FB2E32" w:rsidP="000A5502">
            <w:pPr>
              <w:spacing w:before="120" w:line="360" w:lineRule="auto"/>
              <w:rPr>
                <w:b/>
                <w:bCs/>
                <w:sz w:val="14"/>
                <w:szCs w:val="14"/>
                <w:lang w:val="en-GB"/>
              </w:rPr>
            </w:pPr>
            <w:r w:rsidRPr="00FB2E32">
              <w:rPr>
                <w:b/>
                <w:bCs/>
                <w:sz w:val="14"/>
                <w:szCs w:val="14"/>
                <w:lang w:val="en-GB"/>
              </w:rPr>
              <w:t>Geographic risks</w:t>
            </w:r>
          </w:p>
        </w:tc>
        <w:tc>
          <w:tcPr>
            <w:tcW w:w="2616" w:type="dxa"/>
          </w:tcPr>
          <w:p w14:paraId="7FE9BCE0" w14:textId="456CD914" w:rsidR="00FB2E32" w:rsidRPr="00FB2E32" w:rsidRDefault="00FB2E32" w:rsidP="000A5502">
            <w:pPr>
              <w:spacing w:before="120" w:line="360" w:lineRule="auto"/>
              <w:rPr>
                <w:sz w:val="14"/>
                <w:szCs w:val="14"/>
                <w:lang w:val="en-GB"/>
              </w:rPr>
            </w:pPr>
            <w:r w:rsidRPr="00FB2E32">
              <w:rPr>
                <w:sz w:val="14"/>
                <w:szCs w:val="14"/>
                <w:lang w:val="en-GB"/>
              </w:rPr>
              <w:t>Geographic risks are conditions in a particular country which may make sector risks more likely. Geographic risk factors can generally be classified as those related to the regulatory framework (e.g. alignment with international conventions), governance (e.g. strength of inspectorates, rule of law, level of corruption), socio-economic context (e.g. poverty and education rates, vulnerability and discrimination of specific populations) and political context (e.g. presence of conflict).</w:t>
            </w:r>
          </w:p>
        </w:tc>
      </w:tr>
      <w:tr w:rsidR="00FB2E32" w:rsidRPr="00C2718F" w14:paraId="31D9A31E" w14:textId="77777777" w:rsidTr="000A5502">
        <w:tc>
          <w:tcPr>
            <w:tcW w:w="846" w:type="dxa"/>
            <w:shd w:val="clear" w:color="auto" w:fill="C7DAE1"/>
          </w:tcPr>
          <w:p w14:paraId="276E424E" w14:textId="635EEBFD" w:rsidR="00FB2E32" w:rsidRPr="00FB2E32" w:rsidRDefault="00FB2E32" w:rsidP="000A5502">
            <w:pPr>
              <w:spacing w:before="120" w:line="360" w:lineRule="auto"/>
              <w:rPr>
                <w:b/>
                <w:bCs/>
                <w:sz w:val="14"/>
                <w:szCs w:val="14"/>
                <w:lang w:val="en-GB"/>
              </w:rPr>
            </w:pPr>
            <w:r w:rsidRPr="00FB2E32">
              <w:rPr>
                <w:b/>
                <w:bCs/>
                <w:sz w:val="14"/>
                <w:szCs w:val="14"/>
                <w:lang w:val="en-GB"/>
              </w:rPr>
              <w:t>Sector risks</w:t>
            </w:r>
          </w:p>
        </w:tc>
        <w:tc>
          <w:tcPr>
            <w:tcW w:w="2616" w:type="dxa"/>
          </w:tcPr>
          <w:p w14:paraId="4BF284B3" w14:textId="6F8B6799" w:rsidR="00FB2E32" w:rsidRPr="00FB2E32" w:rsidRDefault="00FB2E32" w:rsidP="000A5502">
            <w:pPr>
              <w:spacing w:before="120" w:line="360" w:lineRule="auto"/>
              <w:rPr>
                <w:sz w:val="14"/>
                <w:szCs w:val="14"/>
                <w:lang w:val="en-GB"/>
              </w:rPr>
            </w:pPr>
            <w:r w:rsidRPr="00FB2E32">
              <w:rPr>
                <w:sz w:val="14"/>
                <w:szCs w:val="14"/>
                <w:lang w:val="en-GB"/>
              </w:rPr>
              <w:t xml:space="preserve">Sector risks are risks that are prevalent within a sector globally </w:t>
            </w:r>
            <w:proofErr w:type="gramStart"/>
            <w:r w:rsidRPr="00FB2E32">
              <w:rPr>
                <w:sz w:val="14"/>
                <w:szCs w:val="14"/>
                <w:lang w:val="en-GB"/>
              </w:rPr>
              <w:t>as a result of</w:t>
            </w:r>
            <w:proofErr w:type="gramEnd"/>
            <w:r w:rsidRPr="00FB2E32">
              <w:rPr>
                <w:sz w:val="14"/>
                <w:szCs w:val="14"/>
                <w:lang w:val="en-GB"/>
              </w:rPr>
              <w:t xml:space="preserve"> the characteristics of the sector, its activities, its products and production processes. For example, the extractive sector is often associated with risks related to a large environmental footprint and impacts on local communities. In the garment and footwear sector, risks associated with respect for trade union rights, occupational health and safety and low wages are prevalent, amongst others.</w:t>
            </w:r>
          </w:p>
        </w:tc>
      </w:tr>
      <w:tr w:rsidR="00FB2E32" w:rsidRPr="00C2718F" w14:paraId="37063605" w14:textId="77777777" w:rsidTr="008B61B3">
        <w:trPr>
          <w:trHeight w:val="2831"/>
        </w:trPr>
        <w:tc>
          <w:tcPr>
            <w:tcW w:w="846" w:type="dxa"/>
            <w:shd w:val="clear" w:color="auto" w:fill="C7DAE1"/>
          </w:tcPr>
          <w:p w14:paraId="05537272" w14:textId="299D1212" w:rsidR="00FB2E32" w:rsidRPr="00FB2E32" w:rsidRDefault="00FB2E32" w:rsidP="000A5502">
            <w:pPr>
              <w:spacing w:before="120" w:line="360" w:lineRule="auto"/>
              <w:rPr>
                <w:b/>
                <w:bCs/>
                <w:sz w:val="14"/>
                <w:szCs w:val="14"/>
                <w:lang w:val="en-GB"/>
              </w:rPr>
            </w:pPr>
            <w:r w:rsidRPr="00FB2E32">
              <w:rPr>
                <w:b/>
                <w:bCs/>
                <w:sz w:val="14"/>
                <w:szCs w:val="14"/>
                <w:lang w:val="en-GB"/>
              </w:rPr>
              <w:t>Product risks</w:t>
            </w:r>
          </w:p>
        </w:tc>
        <w:tc>
          <w:tcPr>
            <w:tcW w:w="2616" w:type="dxa"/>
          </w:tcPr>
          <w:p w14:paraId="6D5A29E5" w14:textId="59638953" w:rsidR="00FB2E32" w:rsidRPr="00FB2E32" w:rsidRDefault="00FB2E32" w:rsidP="000A5502">
            <w:pPr>
              <w:spacing w:before="120" w:line="360" w:lineRule="auto"/>
              <w:rPr>
                <w:sz w:val="14"/>
                <w:szCs w:val="14"/>
                <w:lang w:val="en-GB"/>
              </w:rPr>
            </w:pPr>
            <w:r w:rsidRPr="00FB2E32">
              <w:rPr>
                <w:sz w:val="14"/>
                <w:szCs w:val="14"/>
                <w:lang w:val="en-GB"/>
              </w:rPr>
              <w:t>Product risks are risks related to inputs or production processes used in the development or use of specific products. For example, garment products with beading or embroidery hold a higher risk of informal employment and precarious work and phones and computers may contain components that are at risk of being mined from conflict areas.</w:t>
            </w:r>
          </w:p>
        </w:tc>
      </w:tr>
    </w:tbl>
    <w:p w14:paraId="157644D7" w14:textId="77777777" w:rsidR="00FB2E32" w:rsidRDefault="00FB2E32" w:rsidP="00306F42">
      <w:pPr>
        <w:spacing w:line="360" w:lineRule="auto"/>
        <w:rPr>
          <w:sz w:val="18"/>
          <w:szCs w:val="18"/>
          <w:lang w:val="en-GB"/>
        </w:rPr>
      </w:pPr>
    </w:p>
    <w:p w14:paraId="01346EEE" w14:textId="2365235D" w:rsidR="00FB2E32" w:rsidRPr="00495F9F" w:rsidRDefault="00FB2E32" w:rsidP="00306F42">
      <w:pPr>
        <w:spacing w:line="360" w:lineRule="auto"/>
        <w:rPr>
          <w:i/>
          <w:iCs/>
          <w:sz w:val="18"/>
          <w:szCs w:val="18"/>
          <w:lang w:val="en-GB"/>
        </w:rPr>
      </w:pPr>
      <w:r w:rsidRPr="00495F9F">
        <w:rPr>
          <w:i/>
          <w:iCs/>
          <w:sz w:val="18"/>
          <w:szCs w:val="18"/>
          <w:lang w:val="en-GB"/>
        </w:rPr>
        <w:t>2.3.1 Consultations and sources</w:t>
      </w:r>
    </w:p>
    <w:p w14:paraId="2B3A2D8A" w14:textId="3873A2E1" w:rsidR="002522CD" w:rsidRDefault="00D25664" w:rsidP="003824F8">
      <w:pPr>
        <w:spacing w:line="360" w:lineRule="auto"/>
        <w:rPr>
          <w:sz w:val="18"/>
          <w:szCs w:val="18"/>
          <w:lang w:val="en-GB"/>
        </w:rPr>
      </w:pPr>
      <w:bookmarkStart w:id="0" w:name="_Hlk198039226"/>
      <w:r w:rsidRPr="00306F42">
        <w:rPr>
          <w:sz w:val="18"/>
          <w:szCs w:val="18"/>
          <w:lang w:val="en-GB"/>
        </w:rPr>
        <w:t>When identifying and assessing adverse impacts, [</w:t>
      </w:r>
      <w:r w:rsidR="00D7063D">
        <w:rPr>
          <w:sz w:val="18"/>
          <w:szCs w:val="18"/>
          <w:lang w:val="en-GB"/>
        </w:rPr>
        <w:t>Sustainability Manager</w:t>
      </w:r>
      <w:r w:rsidRPr="00306F42">
        <w:rPr>
          <w:sz w:val="18"/>
          <w:szCs w:val="18"/>
          <w:lang w:val="en-GB"/>
        </w:rPr>
        <w:t xml:space="preserve">s] shall engage in meaningful consultations with </w:t>
      </w:r>
      <w:r>
        <w:rPr>
          <w:sz w:val="18"/>
          <w:szCs w:val="18"/>
          <w:lang w:val="en-GB"/>
        </w:rPr>
        <w:t>affected stakeholders</w:t>
      </w:r>
      <w:r w:rsidRPr="00306F42">
        <w:rPr>
          <w:sz w:val="18"/>
          <w:szCs w:val="18"/>
          <w:lang w:val="en-GB"/>
        </w:rPr>
        <w:t xml:space="preserve"> or their representatives. </w:t>
      </w:r>
      <w:r w:rsidR="002522CD" w:rsidRPr="002522CD">
        <w:rPr>
          <w:sz w:val="18"/>
          <w:szCs w:val="18"/>
          <w:lang w:val="en-GB"/>
        </w:rPr>
        <w:t>One way [</w:t>
      </w:r>
      <w:r w:rsidR="002522CD">
        <w:rPr>
          <w:sz w:val="18"/>
          <w:szCs w:val="18"/>
          <w:lang w:val="en-GB"/>
        </w:rPr>
        <w:t xml:space="preserve">Sustainability </w:t>
      </w:r>
      <w:r w:rsidR="002522CD" w:rsidRPr="002522CD">
        <w:rPr>
          <w:sz w:val="18"/>
          <w:szCs w:val="18"/>
          <w:lang w:val="en-GB"/>
        </w:rPr>
        <w:t xml:space="preserve">Managers] can fulfil this requirement is by relying on the independent third-party verifications (audits) commissioned </w:t>
      </w:r>
      <w:r w:rsidR="00D019E6">
        <w:rPr>
          <w:sz w:val="18"/>
          <w:szCs w:val="18"/>
          <w:lang w:val="en-GB"/>
        </w:rPr>
        <w:t>from [consultancy]</w:t>
      </w:r>
      <w:r w:rsidR="00324705" w:rsidRPr="00324705">
        <w:rPr>
          <w:sz w:val="18"/>
          <w:szCs w:val="18"/>
          <w:lang w:val="en-GB"/>
        </w:rPr>
        <w:t xml:space="preserve"> </w:t>
      </w:r>
      <w:r w:rsidR="00324705">
        <w:rPr>
          <w:sz w:val="18"/>
          <w:szCs w:val="18"/>
          <w:lang w:val="en-GB"/>
        </w:rPr>
        <w:t xml:space="preserve">pre-contract or </w:t>
      </w:r>
      <w:r w:rsidR="00324705" w:rsidRPr="002522CD">
        <w:rPr>
          <w:sz w:val="18"/>
          <w:szCs w:val="18"/>
          <w:lang w:val="en-GB"/>
        </w:rPr>
        <w:t>during the contract (see section</w:t>
      </w:r>
      <w:r w:rsidR="00324705">
        <w:rPr>
          <w:sz w:val="18"/>
          <w:szCs w:val="18"/>
          <w:lang w:val="en-GB"/>
        </w:rPr>
        <w:t>s</w:t>
      </w:r>
      <w:r w:rsidR="00324705" w:rsidRPr="002522CD">
        <w:rPr>
          <w:sz w:val="18"/>
          <w:szCs w:val="18"/>
          <w:lang w:val="en-GB"/>
        </w:rPr>
        <w:t xml:space="preserve"> 3.2.</w:t>
      </w:r>
      <w:r w:rsidR="00324705">
        <w:rPr>
          <w:sz w:val="18"/>
          <w:szCs w:val="18"/>
          <w:lang w:val="en-GB"/>
        </w:rPr>
        <w:t>2-3</w:t>
      </w:r>
      <w:r w:rsidR="00324705" w:rsidRPr="002522CD">
        <w:rPr>
          <w:sz w:val="18"/>
          <w:szCs w:val="18"/>
          <w:lang w:val="en-GB"/>
        </w:rPr>
        <w:t>)</w:t>
      </w:r>
      <w:r w:rsidR="002933DC" w:rsidRPr="004E6311">
        <w:rPr>
          <w:sz w:val="18"/>
          <w:szCs w:val="18"/>
          <w:lang w:val="en-GB"/>
        </w:rPr>
        <w:t>—</w:t>
      </w:r>
      <w:r w:rsidR="002522CD" w:rsidRPr="002522CD">
        <w:rPr>
          <w:sz w:val="18"/>
          <w:szCs w:val="18"/>
          <w:lang w:val="en-GB"/>
        </w:rPr>
        <w:t xml:space="preserve">or requested from suppliers if they have already been </w:t>
      </w:r>
      <w:r w:rsidR="009314A8">
        <w:rPr>
          <w:sz w:val="18"/>
          <w:szCs w:val="18"/>
          <w:lang w:val="en-GB"/>
        </w:rPr>
        <w:t>conducted</w:t>
      </w:r>
      <w:r w:rsidR="009314A8" w:rsidRPr="002522CD">
        <w:rPr>
          <w:sz w:val="18"/>
          <w:szCs w:val="18"/>
          <w:lang w:val="en-GB"/>
        </w:rPr>
        <w:t xml:space="preserve"> </w:t>
      </w:r>
      <w:r w:rsidR="002522CD" w:rsidRPr="002522CD">
        <w:rPr>
          <w:sz w:val="18"/>
          <w:szCs w:val="18"/>
          <w:lang w:val="en-GB"/>
        </w:rPr>
        <w:t>by other parties</w:t>
      </w:r>
      <w:r w:rsidR="002933DC" w:rsidRPr="004E6311">
        <w:rPr>
          <w:sz w:val="18"/>
          <w:szCs w:val="18"/>
          <w:lang w:val="en-GB"/>
        </w:rPr>
        <w:t>—</w:t>
      </w:r>
      <w:proofErr w:type="gramStart"/>
      <w:r w:rsidR="002522CD" w:rsidRPr="002522CD">
        <w:rPr>
          <w:sz w:val="18"/>
          <w:szCs w:val="18"/>
          <w:lang w:val="en-GB"/>
        </w:rPr>
        <w:t>provided that</w:t>
      </w:r>
      <w:proofErr w:type="gramEnd"/>
      <w:r w:rsidR="002522CD" w:rsidRPr="002522CD">
        <w:rPr>
          <w:sz w:val="18"/>
          <w:szCs w:val="18"/>
          <w:lang w:val="en-GB"/>
        </w:rPr>
        <w:t xml:space="preserve"> they are based on meaningful consultations with affected stakeholders or their representatives.</w:t>
      </w:r>
    </w:p>
    <w:p w14:paraId="7AE59090" w14:textId="72C5D877" w:rsidR="00AF5095" w:rsidRDefault="00306F42" w:rsidP="00306F42">
      <w:pPr>
        <w:spacing w:line="360" w:lineRule="auto"/>
        <w:rPr>
          <w:sz w:val="18"/>
          <w:szCs w:val="18"/>
          <w:lang w:val="en-GB"/>
        </w:rPr>
      </w:pPr>
      <w:bookmarkStart w:id="1" w:name="_Hlk198039240"/>
      <w:bookmarkEnd w:id="0"/>
      <w:r w:rsidRPr="00306F42">
        <w:rPr>
          <w:sz w:val="18"/>
          <w:szCs w:val="18"/>
          <w:lang w:val="en-GB"/>
        </w:rPr>
        <w:t>Where direct engagement is not feasible, [</w:t>
      </w:r>
      <w:r w:rsidR="00D7063D">
        <w:rPr>
          <w:sz w:val="18"/>
          <w:szCs w:val="18"/>
          <w:lang w:val="en-GB"/>
        </w:rPr>
        <w:t>Sustainability Manager</w:t>
      </w:r>
      <w:r w:rsidRPr="00306F42">
        <w:rPr>
          <w:sz w:val="18"/>
          <w:szCs w:val="18"/>
          <w:lang w:val="en-GB"/>
        </w:rPr>
        <w:t xml:space="preserve">s] shall consult with experts who can provide credible insights into adverse impacts and </w:t>
      </w:r>
      <w:r w:rsidR="0003571D">
        <w:rPr>
          <w:sz w:val="18"/>
          <w:szCs w:val="18"/>
          <w:lang w:val="en-GB"/>
        </w:rPr>
        <w:t xml:space="preserve">otherwise </w:t>
      </w:r>
      <w:r w:rsidRPr="00306F42">
        <w:rPr>
          <w:sz w:val="18"/>
          <w:szCs w:val="18"/>
          <w:lang w:val="en-GB"/>
        </w:rPr>
        <w:t xml:space="preserve">use credible and independent </w:t>
      </w:r>
      <w:r w:rsidRPr="00306F42">
        <w:rPr>
          <w:sz w:val="18"/>
          <w:szCs w:val="18"/>
          <w:lang w:val="en-GB"/>
        </w:rPr>
        <w:lastRenderedPageBreak/>
        <w:t>sources.</w:t>
      </w:r>
      <w:r w:rsidR="00030AC6">
        <w:rPr>
          <w:rStyle w:val="Fotnotsreferens"/>
          <w:sz w:val="18"/>
          <w:szCs w:val="18"/>
          <w:lang w:val="en-GB"/>
        </w:rPr>
        <w:footnoteReference w:id="5"/>
      </w:r>
      <w:r w:rsidRPr="00306F42">
        <w:rPr>
          <w:sz w:val="18"/>
          <w:szCs w:val="18"/>
          <w:lang w:val="en-GB"/>
        </w:rPr>
        <w:t xml:space="preserve"> </w:t>
      </w:r>
      <w:r w:rsidR="00EC62D0" w:rsidRPr="00306F42">
        <w:rPr>
          <w:sz w:val="18"/>
          <w:szCs w:val="18"/>
          <w:lang w:val="en-GB"/>
        </w:rPr>
        <w:t>[</w:t>
      </w:r>
      <w:r w:rsidR="00D7063D">
        <w:rPr>
          <w:sz w:val="18"/>
          <w:szCs w:val="18"/>
          <w:lang w:val="en-GB"/>
        </w:rPr>
        <w:t>Sustainability Manager</w:t>
      </w:r>
      <w:r w:rsidR="00EC62D0" w:rsidRPr="00306F42">
        <w:rPr>
          <w:sz w:val="18"/>
          <w:szCs w:val="18"/>
          <w:lang w:val="en-GB"/>
        </w:rPr>
        <w:t xml:space="preserve">s] </w:t>
      </w:r>
      <w:r w:rsidR="00EC62D0">
        <w:rPr>
          <w:sz w:val="18"/>
          <w:szCs w:val="18"/>
          <w:lang w:val="en-GB"/>
        </w:rPr>
        <w:t xml:space="preserve">shall furthermore </w:t>
      </w:r>
      <w:r w:rsidR="00EC62D0" w:rsidRPr="00EC62D0">
        <w:rPr>
          <w:sz w:val="18"/>
          <w:szCs w:val="18"/>
          <w:lang w:val="en-GB"/>
        </w:rPr>
        <w:t>consider information raised through complaints procedures</w:t>
      </w:r>
      <w:r w:rsidR="00EC62D0">
        <w:rPr>
          <w:sz w:val="18"/>
          <w:szCs w:val="18"/>
          <w:lang w:val="en-GB"/>
        </w:rPr>
        <w:t xml:space="preserve">. </w:t>
      </w:r>
    </w:p>
    <w:p w14:paraId="54DACA09" w14:textId="59A7C88A" w:rsidR="00306F42" w:rsidRDefault="00306F42" w:rsidP="00306F42">
      <w:pPr>
        <w:spacing w:line="360" w:lineRule="auto"/>
        <w:rPr>
          <w:sz w:val="18"/>
          <w:szCs w:val="18"/>
          <w:lang w:val="en-GB"/>
        </w:rPr>
      </w:pPr>
      <w:r w:rsidRPr="00306F42">
        <w:rPr>
          <w:sz w:val="18"/>
          <w:szCs w:val="18"/>
          <w:lang w:val="en-GB"/>
        </w:rPr>
        <w:t>[</w:t>
      </w:r>
      <w:r w:rsidR="00D7063D">
        <w:rPr>
          <w:sz w:val="18"/>
          <w:szCs w:val="18"/>
          <w:lang w:val="en-GB"/>
        </w:rPr>
        <w:t>Sustainability Manager</w:t>
      </w:r>
      <w:r w:rsidRPr="00306F42">
        <w:rPr>
          <w:sz w:val="18"/>
          <w:szCs w:val="18"/>
          <w:lang w:val="en-GB"/>
        </w:rPr>
        <w:t>s] shall</w:t>
      </w:r>
      <w:r>
        <w:rPr>
          <w:sz w:val="18"/>
          <w:szCs w:val="18"/>
          <w:lang w:val="en-GB"/>
        </w:rPr>
        <w:t xml:space="preserve"> also </w:t>
      </w:r>
      <w:r w:rsidRPr="00306F42">
        <w:rPr>
          <w:sz w:val="18"/>
          <w:szCs w:val="18"/>
          <w:lang w:val="en-GB"/>
        </w:rPr>
        <w:t>prioritise obtaining information directly from business partners where adverse impacts are most likely to occur</w:t>
      </w:r>
      <w:r w:rsidR="00F245B3" w:rsidRPr="004E6311">
        <w:rPr>
          <w:sz w:val="18"/>
          <w:szCs w:val="18"/>
          <w:lang w:val="en-GB"/>
        </w:rPr>
        <w:t>—</w:t>
      </w:r>
      <w:r w:rsidR="00001EF9" w:rsidRPr="00001EF9">
        <w:rPr>
          <w:sz w:val="18"/>
          <w:szCs w:val="18"/>
          <w:lang w:val="en-GB"/>
        </w:rPr>
        <w:t xml:space="preserve">through </w:t>
      </w:r>
      <w:r w:rsidR="008828D4">
        <w:rPr>
          <w:sz w:val="18"/>
          <w:szCs w:val="18"/>
          <w:lang w:val="en-GB"/>
        </w:rPr>
        <w:t xml:space="preserve">supplier engagements and </w:t>
      </w:r>
      <w:r w:rsidR="00001EF9" w:rsidRPr="00001EF9">
        <w:rPr>
          <w:sz w:val="18"/>
          <w:szCs w:val="18"/>
          <w:lang w:val="en-GB"/>
        </w:rPr>
        <w:t>self-assessment</w:t>
      </w:r>
      <w:r w:rsidR="00001EF9">
        <w:rPr>
          <w:sz w:val="18"/>
          <w:szCs w:val="18"/>
          <w:lang w:val="en-GB"/>
        </w:rPr>
        <w:t>s</w:t>
      </w:r>
      <w:r w:rsidR="00001EF9" w:rsidRPr="00001EF9">
        <w:rPr>
          <w:sz w:val="18"/>
          <w:szCs w:val="18"/>
          <w:lang w:val="en-GB"/>
        </w:rPr>
        <w:t xml:space="preserve"> during the </w:t>
      </w:r>
      <w:r w:rsidR="00001EF9">
        <w:rPr>
          <w:sz w:val="18"/>
          <w:szCs w:val="18"/>
          <w:lang w:val="en-GB"/>
        </w:rPr>
        <w:t xml:space="preserve">contract </w:t>
      </w:r>
      <w:r w:rsidR="00001EF9" w:rsidRPr="00001EF9">
        <w:rPr>
          <w:sz w:val="18"/>
          <w:szCs w:val="18"/>
          <w:lang w:val="en-GB"/>
        </w:rPr>
        <w:t>(see section 3.2.</w:t>
      </w:r>
      <w:r w:rsidR="008828D4">
        <w:rPr>
          <w:sz w:val="18"/>
          <w:szCs w:val="18"/>
          <w:lang w:val="en-GB"/>
        </w:rPr>
        <w:t>3</w:t>
      </w:r>
      <w:r w:rsidR="00001EF9" w:rsidRPr="00001EF9">
        <w:rPr>
          <w:sz w:val="18"/>
          <w:szCs w:val="18"/>
          <w:lang w:val="en-GB"/>
        </w:rPr>
        <w:t>).</w:t>
      </w:r>
    </w:p>
    <w:bookmarkEnd w:id="1"/>
    <w:p w14:paraId="2B7F0A6A" w14:textId="6D6C6245" w:rsidR="00FB2E32" w:rsidRPr="00495F9F" w:rsidRDefault="00FB2E32" w:rsidP="00FB2E32">
      <w:pPr>
        <w:spacing w:line="360" w:lineRule="auto"/>
        <w:rPr>
          <w:i/>
          <w:iCs/>
          <w:sz w:val="18"/>
          <w:szCs w:val="18"/>
          <w:lang w:val="en-GB"/>
        </w:rPr>
      </w:pPr>
      <w:r w:rsidRPr="00495F9F">
        <w:rPr>
          <w:i/>
          <w:iCs/>
          <w:sz w:val="18"/>
          <w:szCs w:val="18"/>
          <w:lang w:val="en-GB"/>
        </w:rPr>
        <w:t>2.3.2 Particularly vulnerable groups</w:t>
      </w:r>
    </w:p>
    <w:p w14:paraId="473FA9FD" w14:textId="1AF0EB41" w:rsidR="00D85287" w:rsidRDefault="00306F42" w:rsidP="00306F42">
      <w:pPr>
        <w:spacing w:line="360" w:lineRule="auto"/>
        <w:rPr>
          <w:sz w:val="18"/>
          <w:szCs w:val="18"/>
          <w:lang w:val="en-GB"/>
        </w:rPr>
      </w:pPr>
      <w:r w:rsidRPr="00306F42">
        <w:rPr>
          <w:sz w:val="18"/>
          <w:szCs w:val="18"/>
          <w:lang w:val="en-GB"/>
        </w:rPr>
        <w:t>When identifying and assessing adverse impacts, [</w:t>
      </w:r>
      <w:r w:rsidR="00D7063D">
        <w:rPr>
          <w:sz w:val="18"/>
          <w:szCs w:val="18"/>
          <w:lang w:val="en-GB"/>
        </w:rPr>
        <w:t>Sustainability Manager</w:t>
      </w:r>
      <w:r w:rsidRPr="00306F42">
        <w:rPr>
          <w:sz w:val="18"/>
          <w:szCs w:val="18"/>
          <w:lang w:val="en-GB"/>
        </w:rPr>
        <w:t>s] shall pay special attention to adverse impact</w:t>
      </w:r>
      <w:r w:rsidR="00D85287">
        <w:rPr>
          <w:sz w:val="18"/>
          <w:szCs w:val="18"/>
          <w:lang w:val="en-GB"/>
        </w:rPr>
        <w:t>s</w:t>
      </w:r>
      <w:r w:rsidRPr="00306F42">
        <w:rPr>
          <w:sz w:val="18"/>
          <w:szCs w:val="18"/>
          <w:lang w:val="en-GB"/>
        </w:rPr>
        <w:t xml:space="preserve"> on individuals from groups and populations at heightened risk of vulnerability or marginalisation</w:t>
      </w:r>
      <w:r w:rsidR="00D85287">
        <w:rPr>
          <w:rStyle w:val="Fotnotsreferens"/>
          <w:sz w:val="18"/>
          <w:szCs w:val="18"/>
          <w:lang w:val="en-GB"/>
        </w:rPr>
        <w:footnoteReference w:id="6"/>
      </w:r>
      <w:r w:rsidR="00D85287">
        <w:rPr>
          <w:sz w:val="18"/>
          <w:szCs w:val="18"/>
          <w:lang w:val="en-GB"/>
        </w:rPr>
        <w:t>, including at least:</w:t>
      </w:r>
    </w:p>
    <w:p w14:paraId="32A3FAAB" w14:textId="77777777" w:rsidR="00D85287"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Indigenous peoples</w:t>
      </w:r>
    </w:p>
    <w:p w14:paraId="70C07413" w14:textId="77777777" w:rsidR="00D85287"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Women</w:t>
      </w:r>
    </w:p>
    <w:p w14:paraId="66B49B75" w14:textId="77777777" w:rsidR="00D85287"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National or ethnic, religious and linguistic minorities</w:t>
      </w:r>
    </w:p>
    <w:p w14:paraId="5C86A112" w14:textId="77777777" w:rsidR="00D85287"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Children</w:t>
      </w:r>
    </w:p>
    <w:p w14:paraId="660FF870" w14:textId="77777777" w:rsidR="00D85287"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Persons with disabilities</w:t>
      </w:r>
    </w:p>
    <w:p w14:paraId="0E048188" w14:textId="0C91F8B5" w:rsidR="00306F42" w:rsidRPr="00D85287" w:rsidRDefault="00D85287" w:rsidP="00D85287">
      <w:pPr>
        <w:pStyle w:val="Liststycke"/>
        <w:numPr>
          <w:ilvl w:val="0"/>
          <w:numId w:val="20"/>
        </w:numPr>
        <w:spacing w:line="360" w:lineRule="auto"/>
        <w:rPr>
          <w:sz w:val="18"/>
          <w:szCs w:val="18"/>
          <w:lang w:val="en-GB"/>
        </w:rPr>
      </w:pPr>
      <w:r w:rsidRPr="00D85287">
        <w:rPr>
          <w:sz w:val="18"/>
          <w:szCs w:val="18"/>
          <w:lang w:val="en-GB"/>
        </w:rPr>
        <w:t>Migrant workers and their families</w:t>
      </w:r>
    </w:p>
    <w:p w14:paraId="29AA8AC4" w14:textId="29FA13B3" w:rsidR="00FB2E32" w:rsidRPr="00495F9F" w:rsidRDefault="00FB2E32" w:rsidP="00306F42">
      <w:pPr>
        <w:spacing w:line="360" w:lineRule="auto"/>
        <w:rPr>
          <w:i/>
          <w:iCs/>
          <w:sz w:val="18"/>
          <w:szCs w:val="18"/>
          <w:lang w:val="en-GB"/>
        </w:rPr>
      </w:pPr>
      <w:r w:rsidRPr="00495F9F">
        <w:rPr>
          <w:i/>
          <w:iCs/>
          <w:sz w:val="18"/>
          <w:szCs w:val="18"/>
          <w:lang w:val="en-GB"/>
        </w:rPr>
        <w:t xml:space="preserve">2.3.3 Likelihood and severity </w:t>
      </w:r>
    </w:p>
    <w:p w14:paraId="14AD5D4B" w14:textId="7F195735" w:rsidR="00FB2E32" w:rsidRDefault="00FB2E32" w:rsidP="00FB2E32">
      <w:pPr>
        <w:spacing w:line="360" w:lineRule="auto"/>
        <w:rPr>
          <w:sz w:val="18"/>
          <w:szCs w:val="18"/>
          <w:lang w:val="en-GB"/>
        </w:rPr>
      </w:pPr>
      <w:r w:rsidRPr="00FB2E32">
        <w:rPr>
          <w:sz w:val="18"/>
          <w:szCs w:val="18"/>
          <w:lang w:val="en-GB"/>
        </w:rPr>
        <w:t>[</w:t>
      </w:r>
      <w:r w:rsidR="00D7063D">
        <w:rPr>
          <w:sz w:val="18"/>
          <w:szCs w:val="18"/>
          <w:lang w:val="en-GB"/>
        </w:rPr>
        <w:t>Sustainability Manager</w:t>
      </w:r>
      <w:r w:rsidRPr="00FB2E32">
        <w:rPr>
          <w:sz w:val="18"/>
          <w:szCs w:val="18"/>
          <w:lang w:val="en-GB"/>
        </w:rPr>
        <w:t xml:space="preserve">s] shall prioritise the </w:t>
      </w:r>
      <w:r w:rsidR="00813E3C">
        <w:rPr>
          <w:sz w:val="18"/>
          <w:szCs w:val="18"/>
          <w:lang w:val="en-GB"/>
        </w:rPr>
        <w:t xml:space="preserve">identified </w:t>
      </w:r>
      <w:r w:rsidRPr="00FB2E32">
        <w:rPr>
          <w:sz w:val="18"/>
          <w:szCs w:val="18"/>
          <w:lang w:val="en-GB"/>
        </w:rPr>
        <w:t xml:space="preserve">adverse impacts based on </w:t>
      </w:r>
      <w:r w:rsidRPr="00FB2E32">
        <w:rPr>
          <w:sz w:val="18"/>
          <w:szCs w:val="18"/>
          <w:lang w:val="en-GB"/>
        </w:rPr>
        <w:t>likelihood and severity. Severity shall be judged by the adverse impacts’:</w:t>
      </w:r>
      <w:r w:rsidR="009B332F">
        <w:rPr>
          <w:rStyle w:val="Fotnotsreferens"/>
          <w:sz w:val="18"/>
          <w:szCs w:val="18"/>
          <w:lang w:val="en-GB"/>
        </w:rPr>
        <w:footnoteReference w:id="7"/>
      </w:r>
    </w:p>
    <w:tbl>
      <w:tblPr>
        <w:tblStyle w:val="Tabellrutnt"/>
        <w:tblW w:w="0" w:type="auto"/>
        <w:tblBorders>
          <w:top w:val="single" w:sz="4" w:space="0" w:color="C7DAE1"/>
          <w:left w:val="single" w:sz="4" w:space="0" w:color="C7DAE1"/>
          <w:bottom w:val="single" w:sz="4" w:space="0" w:color="C7DAE1"/>
          <w:right w:val="single" w:sz="4" w:space="0" w:color="C7DAE1"/>
          <w:insideH w:val="single" w:sz="4" w:space="0" w:color="C7DAE1"/>
          <w:insideV w:val="single" w:sz="4" w:space="0" w:color="C7DAE1"/>
        </w:tblBorders>
        <w:tblLook w:val="04A0" w:firstRow="1" w:lastRow="0" w:firstColumn="1" w:lastColumn="0" w:noHBand="0" w:noVBand="1"/>
      </w:tblPr>
      <w:tblGrid>
        <w:gridCol w:w="1171"/>
        <w:gridCol w:w="2291"/>
      </w:tblGrid>
      <w:tr w:rsidR="00FB2E32" w:rsidRPr="00C2718F" w14:paraId="1531D849" w14:textId="77777777" w:rsidTr="004B47CE">
        <w:tc>
          <w:tcPr>
            <w:tcW w:w="846" w:type="dxa"/>
            <w:shd w:val="clear" w:color="auto" w:fill="C7DAE1"/>
          </w:tcPr>
          <w:p w14:paraId="0E8FB1D1" w14:textId="092CBA53" w:rsidR="00FB2E32" w:rsidRPr="00FB2E32" w:rsidRDefault="00FB2E32" w:rsidP="000A5502">
            <w:pPr>
              <w:spacing w:before="120" w:line="360" w:lineRule="auto"/>
              <w:rPr>
                <w:b/>
                <w:bCs/>
                <w:sz w:val="14"/>
                <w:szCs w:val="14"/>
                <w:lang w:val="en-GB"/>
              </w:rPr>
            </w:pPr>
            <w:r>
              <w:rPr>
                <w:b/>
                <w:bCs/>
                <w:sz w:val="14"/>
                <w:szCs w:val="14"/>
                <w:lang w:val="en-GB"/>
              </w:rPr>
              <w:t>Scale</w:t>
            </w:r>
          </w:p>
        </w:tc>
        <w:tc>
          <w:tcPr>
            <w:tcW w:w="2616" w:type="dxa"/>
          </w:tcPr>
          <w:p w14:paraId="39A54AC2" w14:textId="4CDFB365" w:rsidR="00FB2E32" w:rsidRPr="00FB2E32" w:rsidRDefault="00FB2E32" w:rsidP="000A5502">
            <w:pPr>
              <w:spacing w:before="120" w:line="360" w:lineRule="auto"/>
              <w:rPr>
                <w:sz w:val="14"/>
                <w:szCs w:val="14"/>
                <w:lang w:val="en-GB"/>
              </w:rPr>
            </w:pPr>
            <w:r>
              <w:rPr>
                <w:sz w:val="14"/>
                <w:szCs w:val="14"/>
                <w:lang w:val="en-GB"/>
              </w:rPr>
              <w:t>T</w:t>
            </w:r>
            <w:r w:rsidRPr="00FB2E32">
              <w:rPr>
                <w:sz w:val="14"/>
                <w:szCs w:val="14"/>
                <w:lang w:val="en-GB"/>
              </w:rPr>
              <w:t>he gravity of the adverse impact.</w:t>
            </w:r>
          </w:p>
        </w:tc>
      </w:tr>
      <w:tr w:rsidR="00FB2E32" w:rsidRPr="00C2718F" w14:paraId="38BE3627" w14:textId="77777777" w:rsidTr="004B47CE">
        <w:tc>
          <w:tcPr>
            <w:tcW w:w="846" w:type="dxa"/>
            <w:shd w:val="clear" w:color="auto" w:fill="C7DAE1"/>
          </w:tcPr>
          <w:p w14:paraId="344319E6" w14:textId="1179C563" w:rsidR="00FB2E32" w:rsidRPr="00FB2E32" w:rsidRDefault="00FB2E32" w:rsidP="000A5502">
            <w:pPr>
              <w:spacing w:before="120" w:line="360" w:lineRule="auto"/>
              <w:rPr>
                <w:b/>
                <w:bCs/>
                <w:sz w:val="14"/>
                <w:szCs w:val="14"/>
                <w:lang w:val="en-GB"/>
              </w:rPr>
            </w:pPr>
            <w:r>
              <w:rPr>
                <w:b/>
                <w:bCs/>
                <w:sz w:val="14"/>
                <w:szCs w:val="14"/>
                <w:lang w:val="en-GB"/>
              </w:rPr>
              <w:t>Scope</w:t>
            </w:r>
          </w:p>
        </w:tc>
        <w:tc>
          <w:tcPr>
            <w:tcW w:w="2616" w:type="dxa"/>
          </w:tcPr>
          <w:p w14:paraId="0D455AEF" w14:textId="2D1397D8" w:rsidR="00FB2E32" w:rsidRPr="00FB2E32" w:rsidRDefault="00FB2E32" w:rsidP="000A5502">
            <w:pPr>
              <w:spacing w:before="120" w:line="360" w:lineRule="auto"/>
              <w:rPr>
                <w:sz w:val="14"/>
                <w:szCs w:val="14"/>
                <w:lang w:val="en-GB"/>
              </w:rPr>
            </w:pPr>
            <w:r>
              <w:rPr>
                <w:sz w:val="14"/>
                <w:szCs w:val="14"/>
                <w:lang w:val="en-GB"/>
              </w:rPr>
              <w:t>T</w:t>
            </w:r>
            <w:r w:rsidRPr="00FB2E32">
              <w:rPr>
                <w:sz w:val="14"/>
                <w:szCs w:val="14"/>
                <w:lang w:val="en-GB"/>
              </w:rPr>
              <w:t>he reach of the adverse impact, for example the number of individuals that are or will be affected or the extent of environmental damage.</w:t>
            </w:r>
          </w:p>
        </w:tc>
      </w:tr>
      <w:tr w:rsidR="00FB2E32" w:rsidRPr="00C2718F" w14:paraId="632ED2C6" w14:textId="77777777" w:rsidTr="004B47CE">
        <w:tc>
          <w:tcPr>
            <w:tcW w:w="846" w:type="dxa"/>
            <w:shd w:val="clear" w:color="auto" w:fill="C7DAE1"/>
          </w:tcPr>
          <w:p w14:paraId="743039E6" w14:textId="45B20A24" w:rsidR="00FB2E32" w:rsidRPr="00FB2E32" w:rsidRDefault="00FB2E32" w:rsidP="000A5502">
            <w:pPr>
              <w:spacing w:before="120" w:line="360" w:lineRule="auto"/>
              <w:rPr>
                <w:b/>
                <w:bCs/>
                <w:sz w:val="14"/>
                <w:szCs w:val="14"/>
                <w:lang w:val="en-GB"/>
              </w:rPr>
            </w:pPr>
            <w:r>
              <w:rPr>
                <w:b/>
                <w:bCs/>
                <w:sz w:val="14"/>
                <w:szCs w:val="14"/>
                <w:lang w:val="en-GB"/>
              </w:rPr>
              <w:t>Irremediable character</w:t>
            </w:r>
          </w:p>
        </w:tc>
        <w:tc>
          <w:tcPr>
            <w:tcW w:w="2616" w:type="dxa"/>
          </w:tcPr>
          <w:p w14:paraId="792A348C" w14:textId="33C9B9D9" w:rsidR="00FB2E32" w:rsidRPr="00FB2E32" w:rsidRDefault="00FB2E32" w:rsidP="000A5502">
            <w:pPr>
              <w:spacing w:before="120" w:line="360" w:lineRule="auto"/>
              <w:rPr>
                <w:sz w:val="14"/>
                <w:szCs w:val="14"/>
                <w:lang w:val="en-GB"/>
              </w:rPr>
            </w:pPr>
            <w:r>
              <w:rPr>
                <w:sz w:val="14"/>
                <w:szCs w:val="14"/>
                <w:lang w:val="en-GB"/>
              </w:rPr>
              <w:t>A</w:t>
            </w:r>
            <w:r w:rsidRPr="00FB2E32">
              <w:rPr>
                <w:sz w:val="14"/>
                <w:szCs w:val="14"/>
                <w:lang w:val="en-GB"/>
              </w:rPr>
              <w:t>ny limits on the ability to restore the individuals or environment affected to a situation equivalent to their situation before the adverse impact.</w:t>
            </w:r>
          </w:p>
        </w:tc>
      </w:tr>
    </w:tbl>
    <w:p w14:paraId="03A93CD7" w14:textId="77777777" w:rsidR="00FB2E32" w:rsidRPr="00FB2E32" w:rsidRDefault="00FB2E32" w:rsidP="00FB2E32">
      <w:pPr>
        <w:spacing w:line="360" w:lineRule="auto"/>
        <w:rPr>
          <w:sz w:val="18"/>
          <w:szCs w:val="18"/>
          <w:lang w:val="en-GB"/>
        </w:rPr>
      </w:pPr>
    </w:p>
    <w:p w14:paraId="52C3F3B8" w14:textId="52D782BB" w:rsidR="00FB2E32" w:rsidRPr="00495F9F" w:rsidRDefault="00FB2E32" w:rsidP="00FB2E32">
      <w:pPr>
        <w:spacing w:line="360" w:lineRule="auto"/>
        <w:rPr>
          <w:i/>
          <w:iCs/>
          <w:sz w:val="18"/>
          <w:szCs w:val="18"/>
          <w:lang w:val="en-GB"/>
        </w:rPr>
      </w:pPr>
      <w:r w:rsidRPr="00495F9F">
        <w:rPr>
          <w:i/>
          <w:iCs/>
          <w:sz w:val="18"/>
          <w:szCs w:val="18"/>
          <w:lang w:val="en-GB"/>
        </w:rPr>
        <w:t>2.3.4 Involvement, tier and leverage</w:t>
      </w:r>
    </w:p>
    <w:p w14:paraId="392C90CE" w14:textId="781E84F9" w:rsidR="00FB2E32" w:rsidRPr="00FB2E32" w:rsidRDefault="00FB2E32" w:rsidP="00FB2E32">
      <w:pPr>
        <w:spacing w:line="360" w:lineRule="auto"/>
        <w:rPr>
          <w:sz w:val="18"/>
          <w:szCs w:val="18"/>
          <w:lang w:val="en-GB"/>
        </w:rPr>
      </w:pPr>
      <w:r w:rsidRPr="00FB2E32">
        <w:rPr>
          <w:sz w:val="18"/>
          <w:szCs w:val="18"/>
          <w:lang w:val="en-GB"/>
        </w:rPr>
        <w:t>[</w:t>
      </w:r>
      <w:r w:rsidR="00D7063D">
        <w:rPr>
          <w:sz w:val="18"/>
          <w:szCs w:val="18"/>
          <w:lang w:val="en-GB"/>
        </w:rPr>
        <w:t>Sustainability Manager</w:t>
      </w:r>
      <w:r w:rsidRPr="00FB2E32">
        <w:rPr>
          <w:sz w:val="18"/>
          <w:szCs w:val="18"/>
          <w:lang w:val="en-GB"/>
        </w:rPr>
        <w:t>s] shall furthermore consider:</w:t>
      </w:r>
    </w:p>
    <w:p w14:paraId="7DBBFCC2" w14:textId="4FC261F2" w:rsidR="00FB2E32" w:rsidRPr="00FB2E32" w:rsidRDefault="00FB2E32" w:rsidP="00FB2E32">
      <w:pPr>
        <w:pStyle w:val="Liststycke"/>
        <w:numPr>
          <w:ilvl w:val="0"/>
          <w:numId w:val="18"/>
        </w:numPr>
        <w:spacing w:line="360" w:lineRule="auto"/>
        <w:rPr>
          <w:sz w:val="18"/>
          <w:szCs w:val="18"/>
          <w:lang w:val="en-GB"/>
        </w:rPr>
      </w:pPr>
      <w:r w:rsidRPr="00FB2E32">
        <w:rPr>
          <w:sz w:val="18"/>
          <w:szCs w:val="18"/>
          <w:lang w:val="en-GB"/>
        </w:rPr>
        <w:t>Whether the adverse impact may be/is caused by [Company] alone</w:t>
      </w:r>
      <w:r w:rsidR="000A5502">
        <w:rPr>
          <w:sz w:val="18"/>
          <w:szCs w:val="18"/>
          <w:lang w:val="en-GB"/>
        </w:rPr>
        <w:t xml:space="preserve"> (causation)</w:t>
      </w:r>
      <w:r w:rsidRPr="00FB2E32">
        <w:rPr>
          <w:sz w:val="18"/>
          <w:szCs w:val="18"/>
          <w:lang w:val="en-GB"/>
        </w:rPr>
        <w:t xml:space="preserve">, jointly with a supplier (contribution), or only by a supplier </w:t>
      </w:r>
      <w:r w:rsidR="004B7D6A">
        <w:rPr>
          <w:sz w:val="18"/>
          <w:szCs w:val="18"/>
          <w:lang w:val="en-GB"/>
        </w:rPr>
        <w:t>or sub-supplier</w:t>
      </w:r>
      <w:r w:rsidRPr="00FB2E32">
        <w:rPr>
          <w:sz w:val="18"/>
          <w:szCs w:val="18"/>
          <w:lang w:val="en-GB"/>
        </w:rPr>
        <w:t xml:space="preserve"> (linkage).</w:t>
      </w:r>
    </w:p>
    <w:p w14:paraId="2FDC9B15" w14:textId="230D278C" w:rsidR="00FB2E32" w:rsidRPr="00FB2E32" w:rsidRDefault="00FB2E32" w:rsidP="00FB2E32">
      <w:pPr>
        <w:pStyle w:val="Liststycke"/>
        <w:numPr>
          <w:ilvl w:val="0"/>
          <w:numId w:val="18"/>
        </w:numPr>
        <w:spacing w:line="360" w:lineRule="auto"/>
        <w:rPr>
          <w:sz w:val="18"/>
          <w:szCs w:val="18"/>
          <w:lang w:val="en-GB"/>
        </w:rPr>
      </w:pPr>
      <w:r w:rsidRPr="00FB2E32">
        <w:rPr>
          <w:sz w:val="18"/>
          <w:szCs w:val="18"/>
          <w:lang w:val="en-GB"/>
        </w:rPr>
        <w:t xml:space="preserve">In what tier of the supply chain the adverse impact (may) </w:t>
      </w:r>
      <w:proofErr w:type="gramStart"/>
      <w:r w:rsidRPr="00FB2E32">
        <w:rPr>
          <w:sz w:val="18"/>
          <w:szCs w:val="18"/>
          <w:lang w:val="en-GB"/>
        </w:rPr>
        <w:t>occur</w:t>
      </w:r>
      <w:proofErr w:type="gramEnd"/>
      <w:r w:rsidRPr="00FB2E32">
        <w:rPr>
          <w:sz w:val="18"/>
          <w:szCs w:val="18"/>
          <w:lang w:val="en-GB"/>
        </w:rPr>
        <w:t xml:space="preserve">(s). </w:t>
      </w:r>
    </w:p>
    <w:p w14:paraId="5FB8F4FF" w14:textId="1D67175A" w:rsidR="00813E3C" w:rsidRDefault="00675AC6" w:rsidP="00813E3C">
      <w:pPr>
        <w:pStyle w:val="Liststycke"/>
        <w:numPr>
          <w:ilvl w:val="0"/>
          <w:numId w:val="18"/>
        </w:numPr>
        <w:spacing w:line="360" w:lineRule="auto"/>
        <w:ind w:left="714" w:hanging="357"/>
        <w:rPr>
          <w:sz w:val="18"/>
          <w:szCs w:val="18"/>
          <w:lang w:val="en-GB"/>
        </w:rPr>
      </w:pPr>
      <w:r>
        <w:rPr>
          <w:sz w:val="18"/>
          <w:szCs w:val="18"/>
          <w:lang w:val="en-GB"/>
        </w:rPr>
        <w:t xml:space="preserve">[Company]’s </w:t>
      </w:r>
      <w:r w:rsidR="00FB2E32" w:rsidRPr="00FB2E32">
        <w:rPr>
          <w:sz w:val="18"/>
          <w:szCs w:val="18"/>
          <w:lang w:val="en-GB"/>
        </w:rPr>
        <w:t xml:space="preserve">ability to influence the supplier that (may) cause(s) or </w:t>
      </w:r>
      <w:r w:rsidR="00FB2E32" w:rsidRPr="00FB2E32">
        <w:rPr>
          <w:sz w:val="18"/>
          <w:szCs w:val="18"/>
          <w:lang w:val="en-GB"/>
        </w:rPr>
        <w:lastRenderedPageBreak/>
        <w:t>contribute(s) to the adverse impact</w:t>
      </w:r>
      <w:r w:rsidR="004B7D6A">
        <w:rPr>
          <w:sz w:val="18"/>
          <w:szCs w:val="18"/>
          <w:lang w:val="en-GB"/>
        </w:rPr>
        <w:t xml:space="preserve"> </w:t>
      </w:r>
      <w:r w:rsidR="004B7D6A" w:rsidRPr="00FB2E32">
        <w:rPr>
          <w:sz w:val="18"/>
          <w:szCs w:val="18"/>
          <w:lang w:val="en-GB"/>
        </w:rPr>
        <w:t>(leverage)</w:t>
      </w:r>
      <w:r w:rsidR="004B7D6A">
        <w:rPr>
          <w:sz w:val="18"/>
          <w:szCs w:val="18"/>
          <w:lang w:val="en-GB"/>
        </w:rPr>
        <w:t>.</w:t>
      </w:r>
      <w:r w:rsidR="009B332F">
        <w:rPr>
          <w:rStyle w:val="Fotnotsreferens"/>
          <w:sz w:val="18"/>
          <w:szCs w:val="18"/>
          <w:lang w:val="en-GB"/>
        </w:rPr>
        <w:footnoteReference w:id="8"/>
      </w:r>
      <w:r w:rsidR="004B7D6A">
        <w:rPr>
          <w:sz w:val="18"/>
          <w:szCs w:val="18"/>
          <w:lang w:val="en-GB"/>
        </w:rPr>
        <w:t xml:space="preserve"> </w:t>
      </w:r>
    </w:p>
    <w:p w14:paraId="32BE0BCD" w14:textId="77777777" w:rsidR="00813E3C" w:rsidRDefault="00813E3C">
      <w:pPr>
        <w:spacing w:after="0" w:line="240" w:lineRule="auto"/>
        <w:rPr>
          <w:sz w:val="18"/>
          <w:szCs w:val="18"/>
          <w:lang w:val="en-GB"/>
        </w:rPr>
        <w:sectPr w:rsidR="00813E3C" w:rsidSect="002D7090">
          <w:type w:val="continuous"/>
          <w:pgSz w:w="11906" w:h="16838"/>
          <w:pgMar w:top="2676" w:right="2268" w:bottom="2098" w:left="1985" w:header="993" w:footer="680" w:gutter="0"/>
          <w:cols w:num="2" w:sep="1" w:space="709"/>
          <w:docGrid w:linePitch="360"/>
        </w:sectPr>
      </w:pPr>
      <w:r>
        <w:rPr>
          <w:sz w:val="18"/>
          <w:szCs w:val="18"/>
          <w:lang w:val="en-GB"/>
        </w:rPr>
        <w:br w:type="page"/>
      </w:r>
    </w:p>
    <w:p w14:paraId="1E12E9E3" w14:textId="1AD578BD" w:rsidR="00813E3C" w:rsidRDefault="008B61B3">
      <w:pPr>
        <w:spacing w:after="0" w:line="240" w:lineRule="auto"/>
        <w:rPr>
          <w:sz w:val="18"/>
          <w:szCs w:val="18"/>
          <w:lang w:val="en-GB"/>
        </w:rPr>
      </w:pPr>
      <w:r>
        <w:rPr>
          <w:noProof/>
          <w:sz w:val="18"/>
          <w:szCs w:val="18"/>
          <w:lang w:val="en-GB"/>
        </w:rPr>
        <w:lastRenderedPageBreak/>
        <w:drawing>
          <wp:anchor distT="0" distB="0" distL="114300" distR="114300" simplePos="0" relativeHeight="251663360" behindDoc="1" locked="0" layoutInCell="1" allowOverlap="1" wp14:anchorId="488EA24B" wp14:editId="5740B4C7">
            <wp:simplePos x="0" y="0"/>
            <wp:positionH relativeFrom="page">
              <wp:align>center</wp:align>
            </wp:positionH>
            <wp:positionV relativeFrom="paragraph">
              <wp:posOffset>-1242060</wp:posOffset>
            </wp:positionV>
            <wp:extent cx="5572125" cy="2962275"/>
            <wp:effectExtent l="0" t="0" r="0" b="0"/>
            <wp:wrapNone/>
            <wp:docPr id="212442128" name="Bildobjekt 1"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128" name="Bildobjekt 1" descr="En bild som visar illustration, design, konst&#10;&#10;AI-genererat innehåll kan vara felaktigt."/>
                    <pic:cNvPicPr/>
                  </pic:nvPicPr>
                  <pic:blipFill rotWithShape="1">
                    <a:blip r:embed="rId22"/>
                    <a:srcRect r="-516" b="51477"/>
                    <a:stretch/>
                  </pic:blipFill>
                  <pic:spPr bwMode="auto">
                    <a:xfrm>
                      <a:off x="0" y="0"/>
                      <a:ext cx="5572162" cy="2962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86F7B2" w14:textId="5E5C4BF7" w:rsidR="004B47CE" w:rsidRPr="004B47CE" w:rsidRDefault="004B47CE" w:rsidP="004B47CE">
      <w:pPr>
        <w:spacing w:line="360" w:lineRule="auto"/>
        <w:rPr>
          <w:sz w:val="18"/>
          <w:szCs w:val="18"/>
          <w:lang w:val="en-GB"/>
        </w:rPr>
      </w:pPr>
    </w:p>
    <w:p w14:paraId="5F81D5F3" w14:textId="04B39C00" w:rsidR="004B47CE" w:rsidRDefault="004B47CE" w:rsidP="004B47CE">
      <w:pPr>
        <w:spacing w:line="360" w:lineRule="auto"/>
        <w:rPr>
          <w:sz w:val="18"/>
          <w:szCs w:val="18"/>
          <w:lang w:val="en-GB"/>
        </w:rPr>
      </w:pPr>
    </w:p>
    <w:p w14:paraId="1FF159B7" w14:textId="0EF76DA8" w:rsidR="004B47CE" w:rsidRPr="004B47CE" w:rsidRDefault="004B47CE" w:rsidP="004B47CE">
      <w:pPr>
        <w:spacing w:line="360" w:lineRule="auto"/>
        <w:rPr>
          <w:sz w:val="18"/>
          <w:szCs w:val="18"/>
          <w:lang w:val="en-GB"/>
        </w:rPr>
      </w:pPr>
    </w:p>
    <w:p w14:paraId="5648032B" w14:textId="00C56035" w:rsidR="00813E3C" w:rsidRDefault="009E0E96">
      <w:pPr>
        <w:spacing w:after="0" w:line="240" w:lineRule="auto"/>
        <w:rPr>
          <w:sz w:val="18"/>
          <w:szCs w:val="18"/>
          <w:lang w:val="en-GB"/>
        </w:rPr>
      </w:pPr>
      <w:r>
        <w:rPr>
          <w:noProof/>
          <w:sz w:val="18"/>
          <w:szCs w:val="18"/>
          <w:lang w:val="en-GB"/>
        </w:rPr>
        <w:drawing>
          <wp:anchor distT="0" distB="0" distL="114300" distR="114300" simplePos="0" relativeHeight="251661312" behindDoc="0" locked="0" layoutInCell="1" allowOverlap="1" wp14:anchorId="0917E0B8" wp14:editId="38743596">
            <wp:simplePos x="0" y="0"/>
            <wp:positionH relativeFrom="page">
              <wp:align>center</wp:align>
            </wp:positionH>
            <wp:positionV relativeFrom="paragraph">
              <wp:posOffset>4255719</wp:posOffset>
            </wp:positionV>
            <wp:extent cx="3035808" cy="2912951"/>
            <wp:effectExtent l="0" t="0" r="0" b="1905"/>
            <wp:wrapNone/>
            <wp:docPr id="790998176" name="Bildobjekt 2" descr="En bild som visar text, skärmbild, cirkel,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8176" name="Bildobjekt 2" descr="En bild som visar text, skärmbild, cirkel, diagram&#10;&#10;AI-genererat innehåll kan vara felaktigt."/>
                    <pic:cNvPicPr/>
                  </pic:nvPicPr>
                  <pic:blipFill>
                    <a:blip r:embed="rId23"/>
                    <a:stretch>
                      <a:fillRect/>
                    </a:stretch>
                  </pic:blipFill>
                  <pic:spPr>
                    <a:xfrm>
                      <a:off x="0" y="0"/>
                      <a:ext cx="3035808" cy="291295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lang w:val="en-GB"/>
        </w:rPr>
        <w:drawing>
          <wp:anchor distT="0" distB="0" distL="114300" distR="114300" simplePos="0" relativeHeight="251665408" behindDoc="1" locked="0" layoutInCell="1" allowOverlap="1" wp14:anchorId="62EADC9A" wp14:editId="491E00D6">
            <wp:simplePos x="0" y="0"/>
            <wp:positionH relativeFrom="page">
              <wp:posOffset>945820</wp:posOffset>
            </wp:positionH>
            <wp:positionV relativeFrom="paragraph">
              <wp:posOffset>850620</wp:posOffset>
            </wp:positionV>
            <wp:extent cx="5610225" cy="2780665"/>
            <wp:effectExtent l="0" t="0" r="0" b="635"/>
            <wp:wrapNone/>
            <wp:docPr id="554955599" name="Bildobjekt 1" descr="En bild som visar illustration, design, kons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2128" name="Bildobjekt 1" descr="En bild som visar illustration, design, konst&#10;&#10;AI-genererat innehåll kan vara felaktigt."/>
                    <pic:cNvPicPr/>
                  </pic:nvPicPr>
                  <pic:blipFill rotWithShape="1">
                    <a:blip r:embed="rId22"/>
                    <a:srcRect l="1" t="54452" r="-1204"/>
                    <a:stretch/>
                  </pic:blipFill>
                  <pic:spPr bwMode="auto">
                    <a:xfrm>
                      <a:off x="0" y="0"/>
                      <a:ext cx="5610225" cy="2780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3E3C">
        <w:rPr>
          <w:sz w:val="18"/>
          <w:szCs w:val="18"/>
          <w:lang w:val="en-GB"/>
        </w:rPr>
        <w:br w:type="page"/>
      </w:r>
    </w:p>
    <w:p w14:paraId="3FD78D91" w14:textId="77777777" w:rsidR="00813E3C" w:rsidRDefault="00813E3C" w:rsidP="005E725B">
      <w:pPr>
        <w:spacing w:line="360" w:lineRule="auto"/>
        <w:rPr>
          <w:sz w:val="18"/>
          <w:szCs w:val="18"/>
          <w:lang w:val="en-GB"/>
        </w:rPr>
        <w:sectPr w:rsidR="00813E3C" w:rsidSect="00813E3C">
          <w:type w:val="continuous"/>
          <w:pgSz w:w="11906" w:h="16838"/>
          <w:pgMar w:top="2676" w:right="2268" w:bottom="2098" w:left="1985" w:header="993" w:footer="680" w:gutter="0"/>
          <w:cols w:sep="1" w:space="709"/>
          <w:docGrid w:linePitch="360"/>
        </w:sectPr>
      </w:pPr>
    </w:p>
    <w:p w14:paraId="5EF8F8F5" w14:textId="325A3A10" w:rsidR="005E725B" w:rsidRPr="00495F9F" w:rsidRDefault="005E725B" w:rsidP="005E725B">
      <w:pPr>
        <w:spacing w:line="360" w:lineRule="auto"/>
        <w:rPr>
          <w:i/>
          <w:iCs/>
          <w:sz w:val="18"/>
          <w:szCs w:val="18"/>
          <w:lang w:val="en-GB"/>
        </w:rPr>
      </w:pPr>
      <w:r w:rsidRPr="00495F9F">
        <w:rPr>
          <w:i/>
          <w:iCs/>
          <w:sz w:val="18"/>
          <w:szCs w:val="18"/>
          <w:lang w:val="en-GB"/>
        </w:rPr>
        <w:lastRenderedPageBreak/>
        <w:t xml:space="preserve">2.3.5 </w:t>
      </w:r>
      <w:bookmarkStart w:id="2" w:name="_Hlk198039282"/>
      <w:r w:rsidRPr="00495F9F">
        <w:rPr>
          <w:i/>
          <w:iCs/>
          <w:sz w:val="18"/>
          <w:szCs w:val="18"/>
          <w:lang w:val="en-GB"/>
        </w:rPr>
        <w:t xml:space="preserve">Monitoring of adverse impacts </w:t>
      </w:r>
      <w:r w:rsidR="004979CD">
        <w:rPr>
          <w:i/>
          <w:iCs/>
          <w:sz w:val="18"/>
          <w:szCs w:val="18"/>
          <w:lang w:val="en-GB"/>
        </w:rPr>
        <w:t xml:space="preserve">and updates of risk assessments </w:t>
      </w:r>
      <w:r w:rsidRPr="00495F9F">
        <w:rPr>
          <w:i/>
          <w:iCs/>
          <w:sz w:val="18"/>
          <w:szCs w:val="18"/>
          <w:lang w:val="en-GB"/>
        </w:rPr>
        <w:t xml:space="preserve"> </w:t>
      </w:r>
      <w:bookmarkEnd w:id="2"/>
    </w:p>
    <w:p w14:paraId="6A2BFFAD" w14:textId="45FF0D01" w:rsidR="005E725B" w:rsidRPr="005E725B" w:rsidRDefault="005E725B" w:rsidP="005E725B">
      <w:pPr>
        <w:spacing w:line="360" w:lineRule="auto"/>
        <w:rPr>
          <w:sz w:val="18"/>
          <w:szCs w:val="18"/>
          <w:lang w:val="en-GB"/>
        </w:rPr>
      </w:pPr>
      <w:bookmarkStart w:id="3" w:name="_Hlk198039294"/>
      <w:r w:rsidRPr="005E725B">
        <w:rPr>
          <w:sz w:val="18"/>
          <w:szCs w:val="18"/>
          <w:lang w:val="en-GB"/>
        </w:rPr>
        <w:t>[</w:t>
      </w:r>
      <w:r w:rsidR="00D7063D">
        <w:rPr>
          <w:sz w:val="18"/>
          <w:szCs w:val="18"/>
          <w:lang w:val="en-GB"/>
        </w:rPr>
        <w:t>Sustainability Manager</w:t>
      </w:r>
      <w:r w:rsidRPr="005E725B">
        <w:rPr>
          <w:sz w:val="18"/>
          <w:szCs w:val="18"/>
          <w:lang w:val="en-GB"/>
        </w:rPr>
        <w:t xml:space="preserve">s] shall monitor adverse impacts in the supply chains of prioritised purchasing categories, through media, civil society, trade unions, </w:t>
      </w:r>
      <w:r w:rsidR="005B13C1">
        <w:rPr>
          <w:sz w:val="18"/>
          <w:szCs w:val="18"/>
          <w:lang w:val="en-GB"/>
        </w:rPr>
        <w:t>academia</w:t>
      </w:r>
      <w:r w:rsidRPr="005E725B">
        <w:rPr>
          <w:sz w:val="18"/>
          <w:szCs w:val="18"/>
          <w:lang w:val="en-GB"/>
        </w:rPr>
        <w:t xml:space="preserve"> etc.</w:t>
      </w:r>
      <w:r w:rsidR="00E823C7">
        <w:rPr>
          <w:sz w:val="18"/>
          <w:szCs w:val="18"/>
          <w:lang w:val="en-GB"/>
        </w:rPr>
        <w:t xml:space="preserve">, and </w:t>
      </w:r>
      <w:r w:rsidRPr="005E725B">
        <w:rPr>
          <w:sz w:val="18"/>
          <w:szCs w:val="18"/>
          <w:lang w:val="en-GB"/>
        </w:rPr>
        <w:t xml:space="preserve">update </w:t>
      </w:r>
      <w:r w:rsidR="005B13C1">
        <w:rPr>
          <w:sz w:val="18"/>
          <w:szCs w:val="18"/>
          <w:lang w:val="en-GB"/>
        </w:rPr>
        <w:t xml:space="preserve">risk </w:t>
      </w:r>
      <w:r w:rsidRPr="005E725B">
        <w:rPr>
          <w:sz w:val="18"/>
          <w:szCs w:val="18"/>
          <w:lang w:val="en-GB"/>
        </w:rPr>
        <w:t xml:space="preserve">assessments </w:t>
      </w:r>
      <w:r w:rsidR="00E823C7" w:rsidRPr="002E5E68">
        <w:rPr>
          <w:sz w:val="18"/>
          <w:szCs w:val="18"/>
          <w:lang w:val="en-GB"/>
        </w:rPr>
        <w:t xml:space="preserve">without delay after significant changes </w:t>
      </w:r>
      <w:r w:rsidR="00E823C7">
        <w:rPr>
          <w:sz w:val="18"/>
          <w:szCs w:val="18"/>
          <w:lang w:val="en-GB"/>
        </w:rPr>
        <w:t xml:space="preserve">occur </w:t>
      </w:r>
      <w:r w:rsidR="00E823C7" w:rsidRPr="002E5E68">
        <w:rPr>
          <w:sz w:val="18"/>
          <w:szCs w:val="18"/>
          <w:lang w:val="en-GB"/>
        </w:rPr>
        <w:t xml:space="preserve">or </w:t>
      </w:r>
      <w:r w:rsidR="00E823C7">
        <w:rPr>
          <w:sz w:val="18"/>
          <w:szCs w:val="18"/>
          <w:lang w:val="en-GB"/>
        </w:rPr>
        <w:t xml:space="preserve">when new risks are </w:t>
      </w:r>
      <w:r w:rsidR="00E823C7" w:rsidRPr="002E5E68">
        <w:rPr>
          <w:sz w:val="18"/>
          <w:szCs w:val="18"/>
          <w:lang w:val="en-GB"/>
        </w:rPr>
        <w:t>identified</w:t>
      </w:r>
      <w:r w:rsidRPr="005E725B">
        <w:rPr>
          <w:sz w:val="18"/>
          <w:szCs w:val="18"/>
          <w:lang w:val="en-GB"/>
        </w:rPr>
        <w:t>.</w:t>
      </w:r>
      <w:r w:rsidR="009B332F">
        <w:rPr>
          <w:rStyle w:val="Fotnotsreferens"/>
          <w:sz w:val="18"/>
          <w:szCs w:val="18"/>
          <w:lang w:val="en-GB"/>
        </w:rPr>
        <w:footnoteReference w:id="9"/>
      </w:r>
    </w:p>
    <w:bookmarkEnd w:id="3"/>
    <w:p w14:paraId="5EBB40B3" w14:textId="5B18B146" w:rsidR="001E32A6" w:rsidRPr="00495F9F" w:rsidRDefault="0010668F" w:rsidP="00306F42">
      <w:pPr>
        <w:spacing w:line="360" w:lineRule="auto"/>
        <w:rPr>
          <w:b/>
          <w:bCs/>
          <w:sz w:val="22"/>
          <w:lang w:val="en-GB"/>
        </w:rPr>
      </w:pPr>
      <w:r w:rsidRPr="00495F9F">
        <w:rPr>
          <w:b/>
          <w:bCs/>
          <w:sz w:val="22"/>
          <w:lang w:val="en-GB"/>
        </w:rPr>
        <w:t xml:space="preserve">3. </w:t>
      </w:r>
      <w:r w:rsidR="00DD6602" w:rsidRPr="00495F9F">
        <w:rPr>
          <w:b/>
          <w:bCs/>
          <w:sz w:val="22"/>
          <w:lang w:val="en-GB"/>
        </w:rPr>
        <w:t>Prevent, mitigat</w:t>
      </w:r>
      <w:r w:rsidR="00306F42" w:rsidRPr="00495F9F">
        <w:rPr>
          <w:b/>
          <w:bCs/>
          <w:sz w:val="22"/>
          <w:lang w:val="en-GB"/>
        </w:rPr>
        <w:t>e</w:t>
      </w:r>
      <w:r w:rsidR="00DD6602" w:rsidRPr="00495F9F">
        <w:rPr>
          <w:b/>
          <w:bCs/>
          <w:sz w:val="22"/>
          <w:lang w:val="en-GB"/>
        </w:rPr>
        <w:t xml:space="preserve"> and </w:t>
      </w:r>
      <w:r w:rsidR="004237D7" w:rsidRPr="00495F9F">
        <w:rPr>
          <w:b/>
          <w:bCs/>
          <w:sz w:val="22"/>
          <w:lang w:val="en-GB"/>
        </w:rPr>
        <w:t xml:space="preserve">bring </w:t>
      </w:r>
      <w:r w:rsidR="00EC62D0" w:rsidRPr="00495F9F">
        <w:rPr>
          <w:b/>
          <w:bCs/>
          <w:sz w:val="22"/>
          <w:lang w:val="en-GB"/>
        </w:rPr>
        <w:t xml:space="preserve">adverse impacts </w:t>
      </w:r>
      <w:r w:rsidR="004237D7" w:rsidRPr="00495F9F">
        <w:rPr>
          <w:b/>
          <w:bCs/>
          <w:sz w:val="22"/>
          <w:lang w:val="en-GB"/>
        </w:rPr>
        <w:t>to an end</w:t>
      </w:r>
      <w:r w:rsidR="00DD6602" w:rsidRPr="00495F9F">
        <w:rPr>
          <w:b/>
          <w:bCs/>
          <w:sz w:val="22"/>
          <w:lang w:val="en-GB"/>
        </w:rPr>
        <w:t xml:space="preserve"> </w:t>
      </w:r>
    </w:p>
    <w:p w14:paraId="69B8F6E6" w14:textId="5E2290F6" w:rsidR="004B7D6A" w:rsidRDefault="004B7D6A" w:rsidP="004B7D6A">
      <w:pPr>
        <w:spacing w:line="360" w:lineRule="auto"/>
        <w:rPr>
          <w:sz w:val="18"/>
          <w:szCs w:val="18"/>
          <w:lang w:val="en-GB"/>
        </w:rPr>
      </w:pPr>
      <w:r w:rsidRPr="004B7D6A">
        <w:rPr>
          <w:sz w:val="18"/>
          <w:szCs w:val="18"/>
          <w:lang w:val="en-GB"/>
        </w:rPr>
        <w:t>[Procurement Managers</w:t>
      </w:r>
      <w:r w:rsidR="00466BE5">
        <w:rPr>
          <w:sz w:val="18"/>
          <w:szCs w:val="18"/>
          <w:lang w:val="en-GB"/>
        </w:rPr>
        <w:t>/</w:t>
      </w:r>
      <w:r w:rsidRPr="004B7D6A">
        <w:rPr>
          <w:sz w:val="18"/>
          <w:szCs w:val="18"/>
          <w:lang w:val="en-GB"/>
        </w:rPr>
        <w:t>Contract Managers] shall, in consultation with [</w:t>
      </w:r>
      <w:r w:rsidR="00D7063D">
        <w:rPr>
          <w:sz w:val="18"/>
          <w:szCs w:val="18"/>
          <w:lang w:val="en-GB"/>
        </w:rPr>
        <w:t>Sustainability Manager</w:t>
      </w:r>
      <w:r w:rsidRPr="004B7D6A">
        <w:rPr>
          <w:sz w:val="18"/>
          <w:szCs w:val="18"/>
          <w:lang w:val="en-GB"/>
        </w:rPr>
        <w:t xml:space="preserve">s], </w:t>
      </w:r>
      <w:proofErr w:type="gramStart"/>
      <w:r w:rsidR="004237D7">
        <w:rPr>
          <w:sz w:val="18"/>
          <w:szCs w:val="18"/>
          <w:lang w:val="en-GB"/>
        </w:rPr>
        <w:t>bring to an end</w:t>
      </w:r>
      <w:proofErr w:type="gramEnd"/>
      <w:r w:rsidRPr="004B7D6A">
        <w:rPr>
          <w:sz w:val="18"/>
          <w:szCs w:val="18"/>
          <w:lang w:val="en-GB"/>
        </w:rPr>
        <w:t xml:space="preserve"> actual adverse impacts </w:t>
      </w:r>
      <w:r w:rsidR="004237D7">
        <w:rPr>
          <w:sz w:val="18"/>
          <w:szCs w:val="18"/>
          <w:lang w:val="en-GB"/>
        </w:rPr>
        <w:t xml:space="preserve">or minimise their extent, </w:t>
      </w:r>
      <w:r w:rsidRPr="004B7D6A">
        <w:rPr>
          <w:sz w:val="18"/>
          <w:szCs w:val="18"/>
          <w:lang w:val="en-GB"/>
        </w:rPr>
        <w:t xml:space="preserve">in proportion to their severity and [Company]’s involvement </w:t>
      </w:r>
      <w:r w:rsidR="00F40397">
        <w:rPr>
          <w:sz w:val="18"/>
          <w:szCs w:val="18"/>
          <w:lang w:val="en-GB"/>
        </w:rPr>
        <w:t>in the impact</w:t>
      </w:r>
      <w:r w:rsidR="00F40397" w:rsidRPr="004B7D6A">
        <w:rPr>
          <w:sz w:val="18"/>
          <w:szCs w:val="18"/>
          <w:lang w:val="en-GB"/>
        </w:rPr>
        <w:t xml:space="preserve"> </w:t>
      </w:r>
      <w:r w:rsidRPr="004B7D6A">
        <w:rPr>
          <w:sz w:val="18"/>
          <w:szCs w:val="18"/>
          <w:lang w:val="en-GB"/>
        </w:rPr>
        <w:t>(causation, contribution or linkage).</w:t>
      </w:r>
    </w:p>
    <w:p w14:paraId="6E5FB7EA" w14:textId="6562BD80" w:rsidR="00DD6602" w:rsidRPr="00495F9F" w:rsidRDefault="004B7D6A" w:rsidP="004B7D6A">
      <w:pPr>
        <w:spacing w:line="360" w:lineRule="auto"/>
        <w:rPr>
          <w:b/>
          <w:bCs/>
          <w:sz w:val="18"/>
          <w:szCs w:val="18"/>
          <w:lang w:val="en-GB"/>
        </w:rPr>
      </w:pPr>
      <w:r w:rsidRPr="00495F9F">
        <w:rPr>
          <w:b/>
          <w:bCs/>
          <w:sz w:val="18"/>
          <w:szCs w:val="18"/>
          <w:lang w:val="en-GB"/>
        </w:rPr>
        <w:t xml:space="preserve">3.1 </w:t>
      </w:r>
      <w:r w:rsidR="00662E37">
        <w:rPr>
          <w:b/>
          <w:bCs/>
          <w:sz w:val="18"/>
          <w:szCs w:val="18"/>
          <w:lang w:val="en-GB"/>
        </w:rPr>
        <w:t>Internal r</w:t>
      </w:r>
      <w:r w:rsidR="004237D7" w:rsidRPr="00495F9F">
        <w:rPr>
          <w:b/>
          <w:bCs/>
          <w:sz w:val="18"/>
          <w:szCs w:val="18"/>
          <w:lang w:val="en-GB"/>
        </w:rPr>
        <w:t>esponses</w:t>
      </w:r>
    </w:p>
    <w:p w14:paraId="3F25DBB7" w14:textId="1F699435" w:rsidR="004B7D6A" w:rsidRPr="00495F9F" w:rsidRDefault="004B7D6A" w:rsidP="004B7D6A">
      <w:pPr>
        <w:spacing w:line="360" w:lineRule="auto"/>
        <w:rPr>
          <w:i/>
          <w:iCs/>
          <w:sz w:val="18"/>
          <w:szCs w:val="18"/>
          <w:lang w:val="en-GB"/>
        </w:rPr>
      </w:pPr>
      <w:r w:rsidRPr="00495F9F">
        <w:rPr>
          <w:i/>
          <w:iCs/>
          <w:sz w:val="18"/>
          <w:szCs w:val="18"/>
          <w:lang w:val="en-GB"/>
        </w:rPr>
        <w:t>3.1.1 Action plans</w:t>
      </w:r>
    </w:p>
    <w:p w14:paraId="17AEA431" w14:textId="1C695384" w:rsidR="004B7D6A" w:rsidRPr="004B7D6A" w:rsidRDefault="004B7D6A" w:rsidP="004B7D6A">
      <w:pPr>
        <w:spacing w:line="360" w:lineRule="auto"/>
        <w:rPr>
          <w:sz w:val="18"/>
          <w:szCs w:val="18"/>
          <w:lang w:val="en-GB"/>
        </w:rPr>
      </w:pPr>
      <w:r w:rsidRPr="004B7D6A">
        <w:rPr>
          <w:sz w:val="18"/>
          <w:szCs w:val="18"/>
          <w:lang w:val="en-GB"/>
        </w:rPr>
        <w:t xml:space="preserve">[Category Managers] shall, in consultation with [Procurement Managers, Contract Managers and </w:t>
      </w:r>
      <w:r w:rsidR="00D7063D">
        <w:rPr>
          <w:sz w:val="18"/>
          <w:szCs w:val="18"/>
          <w:lang w:val="en-GB"/>
        </w:rPr>
        <w:t>Sustainability Manager</w:t>
      </w:r>
      <w:r w:rsidRPr="004B7D6A">
        <w:rPr>
          <w:sz w:val="18"/>
          <w:szCs w:val="18"/>
          <w:lang w:val="en-GB"/>
        </w:rPr>
        <w:t>s], develop and implement (preventive</w:t>
      </w:r>
      <w:r>
        <w:rPr>
          <w:sz w:val="18"/>
          <w:szCs w:val="18"/>
          <w:lang w:val="en-GB"/>
        </w:rPr>
        <w:t>/</w:t>
      </w:r>
      <w:r w:rsidRPr="004B7D6A">
        <w:rPr>
          <w:sz w:val="18"/>
          <w:szCs w:val="18"/>
          <w:lang w:val="en-GB"/>
        </w:rPr>
        <w:t>corrective) action plans for prioritised purchasing categories, with:</w:t>
      </w:r>
    </w:p>
    <w:p w14:paraId="21DD9803" w14:textId="7937971B" w:rsidR="004B7D6A" w:rsidRPr="004B7D6A" w:rsidRDefault="004B7D6A" w:rsidP="004B7D6A">
      <w:pPr>
        <w:pStyle w:val="Liststycke"/>
        <w:numPr>
          <w:ilvl w:val="0"/>
          <w:numId w:val="19"/>
        </w:numPr>
        <w:spacing w:line="360" w:lineRule="auto"/>
        <w:rPr>
          <w:sz w:val="18"/>
          <w:szCs w:val="18"/>
          <w:lang w:val="en-GB"/>
        </w:rPr>
      </w:pPr>
      <w:r w:rsidRPr="004B7D6A">
        <w:rPr>
          <w:sz w:val="18"/>
          <w:szCs w:val="18"/>
          <w:lang w:val="en-GB"/>
        </w:rPr>
        <w:t xml:space="preserve">Appropriate measures </w:t>
      </w:r>
      <w:r>
        <w:rPr>
          <w:sz w:val="18"/>
          <w:szCs w:val="18"/>
          <w:lang w:val="en-GB"/>
        </w:rPr>
        <w:t xml:space="preserve">(see section 3.2) </w:t>
      </w:r>
      <w:r w:rsidRPr="004B7D6A">
        <w:rPr>
          <w:sz w:val="18"/>
          <w:szCs w:val="18"/>
          <w:lang w:val="en-GB"/>
        </w:rPr>
        <w:t xml:space="preserve">to address the prioritised </w:t>
      </w:r>
      <w:r w:rsidRPr="004B7D6A">
        <w:rPr>
          <w:sz w:val="18"/>
          <w:szCs w:val="18"/>
          <w:lang w:val="en-GB"/>
        </w:rPr>
        <w:t xml:space="preserve">adverse impacts </w:t>
      </w:r>
      <w:r w:rsidR="003A3E88">
        <w:rPr>
          <w:sz w:val="18"/>
          <w:szCs w:val="18"/>
          <w:lang w:val="en-GB"/>
        </w:rPr>
        <w:t>in the specific case</w:t>
      </w:r>
      <w:r w:rsidR="00662E37">
        <w:rPr>
          <w:sz w:val="18"/>
          <w:szCs w:val="18"/>
          <w:lang w:val="en-GB"/>
        </w:rPr>
        <w:t>,</w:t>
      </w:r>
      <w:r w:rsidR="003A3E88">
        <w:rPr>
          <w:sz w:val="18"/>
          <w:szCs w:val="18"/>
          <w:lang w:val="en-GB"/>
        </w:rPr>
        <w:t xml:space="preserve"> </w:t>
      </w:r>
      <w:r w:rsidRPr="004B7D6A">
        <w:rPr>
          <w:sz w:val="18"/>
          <w:szCs w:val="18"/>
          <w:lang w:val="en-GB"/>
        </w:rPr>
        <w:t xml:space="preserve">depending on </w:t>
      </w:r>
      <w:r w:rsidR="00675AC6">
        <w:rPr>
          <w:sz w:val="18"/>
          <w:szCs w:val="18"/>
          <w:lang w:val="en-GB"/>
        </w:rPr>
        <w:t xml:space="preserve">[Company]’s </w:t>
      </w:r>
      <w:r w:rsidRPr="004B7D6A">
        <w:rPr>
          <w:sz w:val="18"/>
          <w:szCs w:val="18"/>
          <w:lang w:val="en-GB"/>
        </w:rPr>
        <w:t xml:space="preserve">involvement (causation, contribution or linkage), in what tier the prioritised adverse impacts (may) occur(s), and </w:t>
      </w:r>
      <w:r w:rsidR="00675AC6">
        <w:rPr>
          <w:sz w:val="18"/>
          <w:szCs w:val="18"/>
          <w:lang w:val="en-GB"/>
        </w:rPr>
        <w:t xml:space="preserve">[Company]’s </w:t>
      </w:r>
      <w:r w:rsidRPr="004B7D6A">
        <w:rPr>
          <w:sz w:val="18"/>
          <w:szCs w:val="18"/>
          <w:lang w:val="en-GB"/>
        </w:rPr>
        <w:t>leverage.</w:t>
      </w:r>
    </w:p>
    <w:p w14:paraId="4D1D6502" w14:textId="1CEF194E" w:rsidR="004B7D6A" w:rsidRPr="004B7D6A" w:rsidRDefault="004B7D6A" w:rsidP="004B7D6A">
      <w:pPr>
        <w:pStyle w:val="Liststycke"/>
        <w:numPr>
          <w:ilvl w:val="0"/>
          <w:numId w:val="19"/>
        </w:numPr>
        <w:spacing w:line="360" w:lineRule="auto"/>
        <w:rPr>
          <w:sz w:val="18"/>
          <w:szCs w:val="18"/>
          <w:lang w:val="en-GB"/>
        </w:rPr>
      </w:pPr>
      <w:r w:rsidRPr="004B7D6A">
        <w:rPr>
          <w:sz w:val="18"/>
          <w:szCs w:val="18"/>
          <w:lang w:val="en-GB"/>
        </w:rPr>
        <w:t>Clearly defined responsibilities and reasonable timelines.</w:t>
      </w:r>
    </w:p>
    <w:p w14:paraId="7BB8E739" w14:textId="57986DD7" w:rsidR="004B7D6A" w:rsidRPr="004B7D6A" w:rsidRDefault="004B7D6A" w:rsidP="004B7D6A">
      <w:pPr>
        <w:pStyle w:val="Liststycke"/>
        <w:numPr>
          <w:ilvl w:val="0"/>
          <w:numId w:val="19"/>
        </w:numPr>
        <w:spacing w:line="360" w:lineRule="auto"/>
        <w:rPr>
          <w:sz w:val="18"/>
          <w:szCs w:val="18"/>
          <w:lang w:val="en-GB"/>
        </w:rPr>
      </w:pPr>
      <w:r w:rsidRPr="004B7D6A">
        <w:rPr>
          <w:sz w:val="18"/>
          <w:szCs w:val="18"/>
          <w:lang w:val="en-GB"/>
        </w:rPr>
        <w:t>Qualitative and quantitative indicators to track progress and improvement.</w:t>
      </w:r>
      <w:r w:rsidR="009B332F">
        <w:rPr>
          <w:rStyle w:val="Fotnotsreferens"/>
          <w:sz w:val="18"/>
          <w:szCs w:val="18"/>
          <w:lang w:val="en-GB"/>
        </w:rPr>
        <w:footnoteReference w:id="10"/>
      </w:r>
    </w:p>
    <w:p w14:paraId="1E1535FC" w14:textId="0AE3B1D8" w:rsidR="004B7D6A" w:rsidRDefault="004B7D6A" w:rsidP="004B7D6A">
      <w:pPr>
        <w:spacing w:line="360" w:lineRule="auto"/>
        <w:rPr>
          <w:sz w:val="18"/>
          <w:szCs w:val="18"/>
          <w:lang w:val="en-GB"/>
        </w:rPr>
      </w:pPr>
      <w:r w:rsidRPr="004B7D6A">
        <w:rPr>
          <w:sz w:val="18"/>
          <w:szCs w:val="18"/>
          <w:lang w:val="en-GB"/>
        </w:rPr>
        <w:t>[</w:t>
      </w:r>
      <w:r w:rsidR="00D7063D">
        <w:rPr>
          <w:sz w:val="18"/>
          <w:szCs w:val="18"/>
          <w:lang w:val="en-GB"/>
        </w:rPr>
        <w:t>Sustainability Manager</w:t>
      </w:r>
      <w:r w:rsidRPr="004B7D6A">
        <w:rPr>
          <w:sz w:val="18"/>
          <w:szCs w:val="18"/>
          <w:lang w:val="en-GB"/>
        </w:rPr>
        <w:t xml:space="preserve">s] shall engage in meaningful consultations with </w:t>
      </w:r>
      <w:r w:rsidR="009D2658">
        <w:rPr>
          <w:sz w:val="18"/>
          <w:szCs w:val="18"/>
          <w:lang w:val="en-GB"/>
        </w:rPr>
        <w:t>affected stakeholders</w:t>
      </w:r>
      <w:r w:rsidRPr="004B7D6A">
        <w:rPr>
          <w:sz w:val="18"/>
          <w:szCs w:val="18"/>
          <w:lang w:val="en-GB"/>
        </w:rPr>
        <w:t xml:space="preserve"> or their representatives</w:t>
      </w:r>
      <w:r w:rsidR="009417C9">
        <w:rPr>
          <w:sz w:val="18"/>
          <w:szCs w:val="18"/>
          <w:lang w:val="en-GB"/>
        </w:rPr>
        <w:t xml:space="preserve"> as part of the development of action plans</w:t>
      </w:r>
      <w:r w:rsidR="009417C9" w:rsidRPr="004E6311">
        <w:rPr>
          <w:sz w:val="18"/>
          <w:szCs w:val="18"/>
          <w:lang w:val="en-GB"/>
        </w:rPr>
        <w:t>—</w:t>
      </w:r>
      <w:r w:rsidR="00132462" w:rsidRPr="00132462">
        <w:rPr>
          <w:sz w:val="18"/>
          <w:szCs w:val="18"/>
          <w:lang w:val="en-GB"/>
        </w:rPr>
        <w:t xml:space="preserve">ideally </w:t>
      </w:r>
      <w:r w:rsidR="002933DC">
        <w:rPr>
          <w:sz w:val="18"/>
          <w:szCs w:val="18"/>
          <w:lang w:val="en-GB"/>
        </w:rPr>
        <w:t>at the same time as</w:t>
      </w:r>
      <w:r w:rsidR="00132462">
        <w:rPr>
          <w:sz w:val="18"/>
          <w:szCs w:val="18"/>
          <w:lang w:val="en-GB"/>
        </w:rPr>
        <w:t xml:space="preserve"> the </w:t>
      </w:r>
      <w:r w:rsidR="00132462" w:rsidRPr="00132462">
        <w:rPr>
          <w:sz w:val="18"/>
          <w:szCs w:val="18"/>
          <w:lang w:val="en-GB"/>
        </w:rPr>
        <w:t>consultations on risks</w:t>
      </w:r>
      <w:r w:rsidR="002933DC">
        <w:rPr>
          <w:sz w:val="18"/>
          <w:szCs w:val="18"/>
          <w:lang w:val="en-GB"/>
        </w:rPr>
        <w:t xml:space="preserve"> are conducted</w:t>
      </w:r>
      <w:r w:rsidRPr="004B7D6A">
        <w:rPr>
          <w:sz w:val="18"/>
          <w:szCs w:val="18"/>
          <w:lang w:val="en-GB"/>
        </w:rPr>
        <w:t>. Where direct engagement is not feasible, [</w:t>
      </w:r>
      <w:r w:rsidR="00D7063D">
        <w:rPr>
          <w:sz w:val="18"/>
          <w:szCs w:val="18"/>
          <w:lang w:val="en-GB"/>
        </w:rPr>
        <w:t>Sustainability Manager</w:t>
      </w:r>
      <w:r w:rsidRPr="004B7D6A">
        <w:rPr>
          <w:sz w:val="18"/>
          <w:szCs w:val="18"/>
          <w:lang w:val="en-GB"/>
        </w:rPr>
        <w:t xml:space="preserve">s] shall consult with experts who can provide credible insights into adverse impacts and </w:t>
      </w:r>
      <w:r w:rsidR="0003571D">
        <w:rPr>
          <w:sz w:val="18"/>
          <w:szCs w:val="18"/>
          <w:lang w:val="en-GB"/>
        </w:rPr>
        <w:t xml:space="preserve">otherwise </w:t>
      </w:r>
      <w:r w:rsidRPr="004B7D6A">
        <w:rPr>
          <w:sz w:val="18"/>
          <w:szCs w:val="18"/>
          <w:lang w:val="en-GB"/>
        </w:rPr>
        <w:t>use credible and independent sources.</w:t>
      </w:r>
      <w:r w:rsidR="009B332F">
        <w:rPr>
          <w:rStyle w:val="Fotnotsreferens"/>
          <w:sz w:val="18"/>
          <w:szCs w:val="18"/>
          <w:lang w:val="en-GB"/>
        </w:rPr>
        <w:footnoteReference w:id="11"/>
      </w:r>
    </w:p>
    <w:p w14:paraId="0B540F1E" w14:textId="1B32731F" w:rsidR="002E5E68" w:rsidRDefault="002E5E68" w:rsidP="004B7D6A">
      <w:pPr>
        <w:spacing w:line="360" w:lineRule="auto"/>
        <w:rPr>
          <w:sz w:val="18"/>
          <w:szCs w:val="18"/>
          <w:lang w:val="en-GB"/>
        </w:rPr>
      </w:pPr>
      <w:r w:rsidRPr="002E5E68">
        <w:rPr>
          <w:sz w:val="18"/>
          <w:szCs w:val="18"/>
          <w:lang w:val="en-GB"/>
        </w:rPr>
        <w:t>[</w:t>
      </w:r>
      <w:r>
        <w:rPr>
          <w:sz w:val="18"/>
          <w:szCs w:val="18"/>
          <w:lang w:val="en-GB"/>
        </w:rPr>
        <w:t>Category</w:t>
      </w:r>
      <w:r w:rsidRPr="002E5E68">
        <w:rPr>
          <w:sz w:val="18"/>
          <w:szCs w:val="18"/>
          <w:lang w:val="en-GB"/>
        </w:rPr>
        <w:t xml:space="preserve"> Managers]</w:t>
      </w:r>
      <w:r>
        <w:rPr>
          <w:sz w:val="18"/>
          <w:szCs w:val="18"/>
          <w:lang w:val="en-GB"/>
        </w:rPr>
        <w:t xml:space="preserve"> shall</w:t>
      </w:r>
      <w:r w:rsidRPr="002E5E68">
        <w:rPr>
          <w:sz w:val="18"/>
          <w:szCs w:val="18"/>
          <w:lang w:val="en-GB"/>
        </w:rPr>
        <w:t xml:space="preserve">, in consultation with </w:t>
      </w:r>
      <w:r w:rsidRPr="004B7D6A">
        <w:rPr>
          <w:sz w:val="18"/>
          <w:szCs w:val="18"/>
          <w:lang w:val="en-GB"/>
        </w:rPr>
        <w:t xml:space="preserve">[Procurement Managers, Contract Managers and </w:t>
      </w:r>
      <w:r w:rsidR="00D7063D">
        <w:rPr>
          <w:sz w:val="18"/>
          <w:szCs w:val="18"/>
          <w:lang w:val="en-GB"/>
        </w:rPr>
        <w:t>Sustainability Manager</w:t>
      </w:r>
      <w:r w:rsidRPr="004B7D6A">
        <w:rPr>
          <w:sz w:val="18"/>
          <w:szCs w:val="18"/>
          <w:lang w:val="en-GB"/>
        </w:rPr>
        <w:t xml:space="preserve">s], </w:t>
      </w:r>
      <w:r w:rsidRPr="002E5E68">
        <w:rPr>
          <w:sz w:val="18"/>
          <w:szCs w:val="18"/>
          <w:lang w:val="en-GB"/>
        </w:rPr>
        <w:t xml:space="preserve">follow up the implementation of </w:t>
      </w:r>
      <w:r>
        <w:rPr>
          <w:sz w:val="18"/>
          <w:szCs w:val="18"/>
          <w:lang w:val="en-GB"/>
        </w:rPr>
        <w:t>the</w:t>
      </w:r>
      <w:r w:rsidRPr="002E5E68">
        <w:rPr>
          <w:sz w:val="18"/>
          <w:szCs w:val="18"/>
          <w:lang w:val="en-GB"/>
        </w:rPr>
        <w:t xml:space="preserve"> action plan</w:t>
      </w:r>
      <w:r>
        <w:rPr>
          <w:sz w:val="18"/>
          <w:szCs w:val="18"/>
          <w:lang w:val="en-GB"/>
        </w:rPr>
        <w:t>s</w:t>
      </w:r>
      <w:r w:rsidRPr="002E5E68">
        <w:rPr>
          <w:sz w:val="18"/>
          <w:szCs w:val="18"/>
          <w:lang w:val="en-GB"/>
        </w:rPr>
        <w:t xml:space="preserve">—regularly and at least every 12 months, or without delay after significant changes </w:t>
      </w:r>
      <w:r>
        <w:rPr>
          <w:sz w:val="18"/>
          <w:szCs w:val="18"/>
          <w:lang w:val="en-GB"/>
        </w:rPr>
        <w:t xml:space="preserve">occur </w:t>
      </w:r>
      <w:r w:rsidRPr="002E5E68">
        <w:rPr>
          <w:sz w:val="18"/>
          <w:szCs w:val="18"/>
          <w:lang w:val="en-GB"/>
        </w:rPr>
        <w:t xml:space="preserve">or </w:t>
      </w:r>
      <w:r>
        <w:rPr>
          <w:sz w:val="18"/>
          <w:szCs w:val="18"/>
          <w:lang w:val="en-GB"/>
        </w:rPr>
        <w:t xml:space="preserve">when new risks are </w:t>
      </w:r>
      <w:r w:rsidRPr="002E5E68">
        <w:rPr>
          <w:sz w:val="18"/>
          <w:szCs w:val="18"/>
          <w:lang w:val="en-GB"/>
        </w:rPr>
        <w:t xml:space="preserve">identified. </w:t>
      </w:r>
      <w:r w:rsidR="0089092B" w:rsidRPr="0089092B">
        <w:rPr>
          <w:sz w:val="18"/>
          <w:szCs w:val="18"/>
          <w:lang w:val="en-GB"/>
        </w:rPr>
        <w:t xml:space="preserve">The follow-up shall focus on </w:t>
      </w:r>
      <w:r w:rsidR="0089092B" w:rsidRPr="0089092B">
        <w:rPr>
          <w:sz w:val="18"/>
          <w:szCs w:val="18"/>
          <w:lang w:val="en-GB"/>
        </w:rPr>
        <w:lastRenderedPageBreak/>
        <w:t xml:space="preserve">progress against </w:t>
      </w:r>
      <w:r w:rsidR="009A12D6">
        <w:rPr>
          <w:sz w:val="18"/>
          <w:szCs w:val="18"/>
          <w:lang w:val="en-GB"/>
        </w:rPr>
        <w:t xml:space="preserve">the </w:t>
      </w:r>
      <w:r w:rsidR="0089092B" w:rsidRPr="0089092B">
        <w:rPr>
          <w:sz w:val="18"/>
          <w:szCs w:val="18"/>
          <w:lang w:val="en-GB"/>
        </w:rPr>
        <w:t>measures, timelines and indicators, and ensure that any deviations are addressed.</w:t>
      </w:r>
      <w:r w:rsidR="002D4E63">
        <w:rPr>
          <w:sz w:val="18"/>
          <w:szCs w:val="18"/>
          <w:lang w:val="en-GB"/>
        </w:rPr>
        <w:t xml:space="preserve"> It shall also, to the extent possible, be informed by meaningful consultations with affected stakeholders or their representatives.</w:t>
      </w:r>
      <w:r w:rsidR="00662E37">
        <w:rPr>
          <w:rStyle w:val="Fotnotsreferens"/>
          <w:sz w:val="18"/>
          <w:szCs w:val="18"/>
          <w:lang w:val="en-GB"/>
        </w:rPr>
        <w:footnoteReference w:id="12"/>
      </w:r>
      <w:r w:rsidR="002D4E63">
        <w:rPr>
          <w:sz w:val="18"/>
          <w:szCs w:val="18"/>
          <w:lang w:val="en-GB"/>
        </w:rPr>
        <w:t xml:space="preserve"> </w:t>
      </w:r>
    </w:p>
    <w:p w14:paraId="21F23CF3" w14:textId="1CC3C72B" w:rsidR="00132462" w:rsidRPr="00495F9F" w:rsidRDefault="00132462" w:rsidP="004B7D6A">
      <w:pPr>
        <w:spacing w:line="360" w:lineRule="auto"/>
        <w:rPr>
          <w:i/>
          <w:iCs/>
          <w:sz w:val="18"/>
          <w:szCs w:val="18"/>
          <w:lang w:val="en-GB"/>
        </w:rPr>
      </w:pPr>
      <w:r w:rsidRPr="00495F9F">
        <w:rPr>
          <w:i/>
          <w:iCs/>
          <w:sz w:val="18"/>
          <w:szCs w:val="18"/>
          <w:lang w:val="en-GB"/>
        </w:rPr>
        <w:t>3.1.2 Enhanced action plans</w:t>
      </w:r>
      <w:r w:rsidR="009B332F">
        <w:rPr>
          <w:rStyle w:val="Fotnotsreferens"/>
          <w:i/>
          <w:iCs/>
          <w:sz w:val="18"/>
          <w:szCs w:val="18"/>
          <w:lang w:val="en-GB"/>
        </w:rPr>
        <w:footnoteReference w:id="13"/>
      </w:r>
      <w:r w:rsidRPr="00495F9F">
        <w:rPr>
          <w:i/>
          <w:iCs/>
          <w:sz w:val="18"/>
          <w:szCs w:val="18"/>
          <w:lang w:val="en-GB"/>
        </w:rPr>
        <w:t xml:space="preserve"> </w:t>
      </w:r>
    </w:p>
    <w:p w14:paraId="432C5665" w14:textId="70083C7A" w:rsidR="00132462" w:rsidRPr="00132462" w:rsidRDefault="00132462" w:rsidP="00132462">
      <w:pPr>
        <w:spacing w:line="360" w:lineRule="auto"/>
        <w:rPr>
          <w:sz w:val="18"/>
          <w:szCs w:val="18"/>
          <w:lang w:val="en-GB"/>
        </w:rPr>
      </w:pPr>
      <w:bookmarkStart w:id="5" w:name="_Hlk198039514"/>
      <w:r w:rsidRPr="00132462">
        <w:rPr>
          <w:sz w:val="18"/>
          <w:szCs w:val="18"/>
          <w:lang w:val="en-GB"/>
        </w:rPr>
        <w:t>If a severe adverse impact cannot, or could not, be sufficiently addressed through (preventive</w:t>
      </w:r>
      <w:r>
        <w:rPr>
          <w:sz w:val="18"/>
          <w:szCs w:val="18"/>
          <w:lang w:val="en-GB"/>
        </w:rPr>
        <w:t>/</w:t>
      </w:r>
      <w:r w:rsidRPr="00132462">
        <w:rPr>
          <w:sz w:val="18"/>
          <w:szCs w:val="18"/>
          <w:lang w:val="en-GB"/>
        </w:rPr>
        <w:t>corrective) action plans, [Procurement Managers</w:t>
      </w:r>
      <w:r>
        <w:rPr>
          <w:sz w:val="18"/>
          <w:szCs w:val="18"/>
          <w:lang w:val="en-GB"/>
        </w:rPr>
        <w:t>/</w:t>
      </w:r>
      <w:r w:rsidRPr="00132462">
        <w:rPr>
          <w:sz w:val="18"/>
          <w:szCs w:val="18"/>
          <w:lang w:val="en-GB"/>
        </w:rPr>
        <w:t xml:space="preserve">Contract Managers] shall not enter new or extend existing </w:t>
      </w:r>
      <w:r w:rsidR="002933DC">
        <w:rPr>
          <w:sz w:val="18"/>
          <w:szCs w:val="18"/>
          <w:lang w:val="en-GB"/>
        </w:rPr>
        <w:t>contracts</w:t>
      </w:r>
      <w:r w:rsidR="00466BE5">
        <w:rPr>
          <w:sz w:val="18"/>
          <w:szCs w:val="18"/>
          <w:lang w:val="en-GB"/>
        </w:rPr>
        <w:t xml:space="preserve">, </w:t>
      </w:r>
      <w:r w:rsidRPr="00132462">
        <w:rPr>
          <w:sz w:val="18"/>
          <w:szCs w:val="18"/>
          <w:lang w:val="en-GB"/>
        </w:rPr>
        <w:t>unless they develop and implement an enhanced (preventive</w:t>
      </w:r>
      <w:r>
        <w:rPr>
          <w:sz w:val="18"/>
          <w:szCs w:val="18"/>
          <w:lang w:val="en-GB"/>
        </w:rPr>
        <w:t xml:space="preserve">/ </w:t>
      </w:r>
      <w:r w:rsidRPr="00132462">
        <w:rPr>
          <w:sz w:val="18"/>
          <w:szCs w:val="18"/>
          <w:lang w:val="en-GB"/>
        </w:rPr>
        <w:t xml:space="preserve">corrective) action plan for the specific adverse impact, </w:t>
      </w:r>
      <w:r w:rsidR="00466BE5" w:rsidRPr="004B7D6A">
        <w:rPr>
          <w:sz w:val="18"/>
          <w:szCs w:val="18"/>
          <w:lang w:val="en-GB"/>
        </w:rPr>
        <w:t>in consultation with [</w:t>
      </w:r>
      <w:r w:rsidR="00466BE5">
        <w:rPr>
          <w:sz w:val="18"/>
          <w:szCs w:val="18"/>
          <w:lang w:val="en-GB"/>
        </w:rPr>
        <w:t>Category</w:t>
      </w:r>
      <w:r w:rsidR="00466BE5" w:rsidRPr="004B7D6A">
        <w:rPr>
          <w:sz w:val="18"/>
          <w:szCs w:val="18"/>
          <w:lang w:val="en-GB"/>
        </w:rPr>
        <w:t xml:space="preserve"> Managers and </w:t>
      </w:r>
      <w:r w:rsidR="00D7063D">
        <w:rPr>
          <w:sz w:val="18"/>
          <w:szCs w:val="18"/>
          <w:lang w:val="en-GB"/>
        </w:rPr>
        <w:t>Sustainability Manager</w:t>
      </w:r>
      <w:r w:rsidR="00466BE5" w:rsidRPr="004B7D6A">
        <w:rPr>
          <w:sz w:val="18"/>
          <w:szCs w:val="18"/>
          <w:lang w:val="en-GB"/>
        </w:rPr>
        <w:t>s]</w:t>
      </w:r>
      <w:r w:rsidR="002B0B5F">
        <w:rPr>
          <w:sz w:val="18"/>
          <w:szCs w:val="18"/>
          <w:lang w:val="en-GB"/>
        </w:rPr>
        <w:t xml:space="preserve">. This enhanced action plan </w:t>
      </w:r>
      <w:r w:rsidR="00466BE5">
        <w:rPr>
          <w:sz w:val="18"/>
          <w:szCs w:val="18"/>
          <w:lang w:val="en-GB"/>
        </w:rPr>
        <w:t>may include a</w:t>
      </w:r>
      <w:r w:rsidRPr="00132462">
        <w:rPr>
          <w:sz w:val="18"/>
          <w:szCs w:val="18"/>
          <w:lang w:val="en-GB"/>
        </w:rPr>
        <w:t xml:space="preserve"> temporary suspension—provided there is reasonable expectations it will </w:t>
      </w:r>
      <w:r w:rsidR="002B0B5F" w:rsidRPr="00132462">
        <w:rPr>
          <w:sz w:val="18"/>
          <w:szCs w:val="18"/>
          <w:lang w:val="en-GB"/>
        </w:rPr>
        <w:t>succeed—and</w:t>
      </w:r>
      <w:r w:rsidR="002B0B5F">
        <w:rPr>
          <w:sz w:val="18"/>
          <w:szCs w:val="18"/>
          <w:lang w:val="en-GB"/>
        </w:rPr>
        <w:t xml:space="preserve"> shall include </w:t>
      </w:r>
      <w:r w:rsidRPr="00132462">
        <w:rPr>
          <w:sz w:val="18"/>
          <w:szCs w:val="18"/>
          <w:lang w:val="en-GB"/>
        </w:rPr>
        <w:t>specific and appropriate timelines</w:t>
      </w:r>
      <w:r w:rsidR="002B0B5F">
        <w:rPr>
          <w:sz w:val="18"/>
          <w:szCs w:val="18"/>
          <w:lang w:val="en-GB"/>
        </w:rPr>
        <w:t xml:space="preserve"> and responsibilities</w:t>
      </w:r>
      <w:r w:rsidRPr="00132462">
        <w:rPr>
          <w:sz w:val="18"/>
          <w:szCs w:val="18"/>
          <w:lang w:val="en-GB"/>
        </w:rPr>
        <w:t xml:space="preserve">.  </w:t>
      </w:r>
    </w:p>
    <w:p w14:paraId="2AA6ABA8" w14:textId="1438A2AA" w:rsidR="00132462" w:rsidRDefault="00132462" w:rsidP="00132462">
      <w:pPr>
        <w:spacing w:line="360" w:lineRule="auto"/>
        <w:rPr>
          <w:sz w:val="18"/>
          <w:szCs w:val="18"/>
          <w:lang w:val="en-GB"/>
        </w:rPr>
      </w:pPr>
      <w:bookmarkStart w:id="6" w:name="_Hlk198039533"/>
      <w:bookmarkEnd w:id="5"/>
      <w:r w:rsidRPr="00132462">
        <w:rPr>
          <w:sz w:val="18"/>
          <w:szCs w:val="18"/>
          <w:lang w:val="en-GB"/>
        </w:rPr>
        <w:t>[</w:t>
      </w:r>
      <w:r w:rsidR="00D7063D">
        <w:rPr>
          <w:sz w:val="18"/>
          <w:szCs w:val="18"/>
          <w:lang w:val="en-GB"/>
        </w:rPr>
        <w:t>Sustainability Manager</w:t>
      </w:r>
      <w:r w:rsidRPr="00132462">
        <w:rPr>
          <w:sz w:val="18"/>
          <w:szCs w:val="18"/>
          <w:lang w:val="en-GB"/>
        </w:rPr>
        <w:t xml:space="preserve">s] shall engage in meaningful consultations with </w:t>
      </w:r>
      <w:r w:rsidR="009D2658">
        <w:rPr>
          <w:sz w:val="18"/>
          <w:szCs w:val="18"/>
          <w:lang w:val="en-GB"/>
        </w:rPr>
        <w:t>affected stakeholders</w:t>
      </w:r>
      <w:r w:rsidRPr="00132462">
        <w:rPr>
          <w:sz w:val="18"/>
          <w:szCs w:val="18"/>
          <w:lang w:val="en-GB"/>
        </w:rPr>
        <w:t xml:space="preserve"> or their representatives </w:t>
      </w:r>
      <w:r w:rsidR="00466BE5">
        <w:rPr>
          <w:sz w:val="18"/>
          <w:szCs w:val="18"/>
          <w:lang w:val="en-GB"/>
        </w:rPr>
        <w:t xml:space="preserve">as part of the development of </w:t>
      </w:r>
      <w:r w:rsidRPr="00132462">
        <w:rPr>
          <w:sz w:val="18"/>
          <w:szCs w:val="18"/>
          <w:lang w:val="en-GB"/>
        </w:rPr>
        <w:t>the enhanced action plans. Where direct engagement is not feasible, [</w:t>
      </w:r>
      <w:r w:rsidR="00D7063D">
        <w:rPr>
          <w:sz w:val="18"/>
          <w:szCs w:val="18"/>
          <w:lang w:val="en-GB"/>
        </w:rPr>
        <w:t>Sustainability Manager</w:t>
      </w:r>
      <w:r w:rsidRPr="00132462">
        <w:rPr>
          <w:sz w:val="18"/>
          <w:szCs w:val="18"/>
          <w:lang w:val="en-GB"/>
        </w:rPr>
        <w:t xml:space="preserve">s] shall consult with experts who can provide credible insights into adverse impacts and </w:t>
      </w:r>
      <w:r w:rsidRPr="00132462">
        <w:rPr>
          <w:sz w:val="18"/>
          <w:szCs w:val="18"/>
          <w:lang w:val="en-GB"/>
        </w:rPr>
        <w:t>otherwise use credible and independent sources.</w:t>
      </w:r>
      <w:r w:rsidR="009B332F">
        <w:rPr>
          <w:rStyle w:val="Fotnotsreferens"/>
          <w:sz w:val="18"/>
          <w:szCs w:val="18"/>
          <w:lang w:val="en-GB"/>
        </w:rPr>
        <w:footnoteReference w:id="14"/>
      </w:r>
    </w:p>
    <w:p w14:paraId="0BADC08B" w14:textId="0896E45D" w:rsidR="002B0B5F" w:rsidRDefault="002B0B5F" w:rsidP="00132462">
      <w:pPr>
        <w:spacing w:line="360" w:lineRule="auto"/>
        <w:rPr>
          <w:sz w:val="18"/>
          <w:szCs w:val="18"/>
          <w:lang w:val="en-GB"/>
        </w:rPr>
      </w:pPr>
      <w:r w:rsidRPr="002B0B5F">
        <w:rPr>
          <w:sz w:val="18"/>
          <w:szCs w:val="18"/>
          <w:lang w:val="en-GB"/>
        </w:rPr>
        <w:t xml:space="preserve">Where there is a need to balance the sourcing strategy with </w:t>
      </w:r>
      <w:r>
        <w:rPr>
          <w:sz w:val="18"/>
          <w:szCs w:val="18"/>
          <w:lang w:val="en-GB"/>
        </w:rPr>
        <w:t xml:space="preserve">human </w:t>
      </w:r>
      <w:r w:rsidR="00EC6B76">
        <w:rPr>
          <w:sz w:val="18"/>
          <w:szCs w:val="18"/>
          <w:lang w:val="en-GB"/>
        </w:rPr>
        <w:t>rights, environmental</w:t>
      </w:r>
      <w:r w:rsidR="00D019E6">
        <w:rPr>
          <w:sz w:val="18"/>
          <w:szCs w:val="18"/>
          <w:lang w:val="en-GB"/>
        </w:rPr>
        <w:t>, business ethics or</w:t>
      </w:r>
      <w:r w:rsidRPr="002B0B5F">
        <w:rPr>
          <w:sz w:val="18"/>
          <w:szCs w:val="18"/>
          <w:lang w:val="en-GB"/>
        </w:rPr>
        <w:t xml:space="preserve"> </w:t>
      </w:r>
      <w:r w:rsidR="00D019E6">
        <w:rPr>
          <w:sz w:val="18"/>
          <w:szCs w:val="18"/>
          <w:lang w:val="en-GB"/>
        </w:rPr>
        <w:t xml:space="preserve">[Company] </w:t>
      </w:r>
      <w:r w:rsidRPr="002B0B5F">
        <w:rPr>
          <w:sz w:val="18"/>
          <w:szCs w:val="18"/>
          <w:lang w:val="en-GB"/>
        </w:rPr>
        <w:t>reputational risks, the enhanced action plan shall be decided in [cross-functional decision forum].</w:t>
      </w:r>
      <w:r w:rsidR="009B332F">
        <w:rPr>
          <w:rStyle w:val="Fotnotsreferens"/>
          <w:sz w:val="18"/>
          <w:szCs w:val="18"/>
          <w:lang w:val="en-GB"/>
        </w:rPr>
        <w:footnoteReference w:id="15"/>
      </w:r>
    </w:p>
    <w:bookmarkEnd w:id="6"/>
    <w:p w14:paraId="26992FC2" w14:textId="30F297A0" w:rsidR="009A12D6" w:rsidRPr="0092283B" w:rsidRDefault="009A12D6" w:rsidP="00132462">
      <w:pPr>
        <w:spacing w:line="360" w:lineRule="auto"/>
        <w:rPr>
          <w:lang w:val="en-GB"/>
        </w:rPr>
      </w:pPr>
      <w:r w:rsidRPr="00132462">
        <w:rPr>
          <w:sz w:val="18"/>
          <w:szCs w:val="18"/>
          <w:lang w:val="en-GB"/>
        </w:rPr>
        <w:t>[Procurement Managers</w:t>
      </w:r>
      <w:r>
        <w:rPr>
          <w:sz w:val="18"/>
          <w:szCs w:val="18"/>
          <w:lang w:val="en-GB"/>
        </w:rPr>
        <w:t>/</w:t>
      </w:r>
      <w:r w:rsidRPr="00132462">
        <w:rPr>
          <w:sz w:val="18"/>
          <w:szCs w:val="18"/>
          <w:lang w:val="en-GB"/>
        </w:rPr>
        <w:t>Contract Managers]</w:t>
      </w:r>
      <w:r>
        <w:rPr>
          <w:sz w:val="18"/>
          <w:szCs w:val="18"/>
          <w:lang w:val="en-GB"/>
        </w:rPr>
        <w:t xml:space="preserve"> shall</w:t>
      </w:r>
      <w:r w:rsidRPr="002E5E68">
        <w:rPr>
          <w:sz w:val="18"/>
          <w:szCs w:val="18"/>
          <w:lang w:val="en-GB"/>
        </w:rPr>
        <w:t xml:space="preserve">, in consultation with </w:t>
      </w:r>
      <w:r w:rsidRPr="004B7D6A">
        <w:rPr>
          <w:sz w:val="18"/>
          <w:szCs w:val="18"/>
          <w:lang w:val="en-GB"/>
        </w:rPr>
        <w:t>[</w:t>
      </w:r>
      <w:r>
        <w:rPr>
          <w:sz w:val="18"/>
          <w:szCs w:val="18"/>
          <w:lang w:val="en-GB"/>
        </w:rPr>
        <w:t xml:space="preserve">Category </w:t>
      </w:r>
      <w:r w:rsidRPr="004B7D6A">
        <w:rPr>
          <w:sz w:val="18"/>
          <w:szCs w:val="18"/>
          <w:lang w:val="en-GB"/>
        </w:rPr>
        <w:t xml:space="preserve">Managers and </w:t>
      </w:r>
      <w:r w:rsidR="00D7063D">
        <w:rPr>
          <w:sz w:val="18"/>
          <w:szCs w:val="18"/>
          <w:lang w:val="en-GB"/>
        </w:rPr>
        <w:t>Sustainability Manager</w:t>
      </w:r>
      <w:r w:rsidRPr="004B7D6A">
        <w:rPr>
          <w:sz w:val="18"/>
          <w:szCs w:val="18"/>
          <w:lang w:val="en-GB"/>
        </w:rPr>
        <w:t xml:space="preserve">s], </w:t>
      </w:r>
      <w:r w:rsidRPr="002E5E68">
        <w:rPr>
          <w:sz w:val="18"/>
          <w:szCs w:val="18"/>
          <w:lang w:val="en-GB"/>
        </w:rPr>
        <w:t xml:space="preserve">follow up the implementation of </w:t>
      </w:r>
      <w:r>
        <w:rPr>
          <w:sz w:val="18"/>
          <w:szCs w:val="18"/>
          <w:lang w:val="en-GB"/>
        </w:rPr>
        <w:t>the</w:t>
      </w:r>
      <w:r w:rsidRPr="002E5E68">
        <w:rPr>
          <w:sz w:val="18"/>
          <w:szCs w:val="18"/>
          <w:lang w:val="en-GB"/>
        </w:rPr>
        <w:t xml:space="preserve"> </w:t>
      </w:r>
      <w:r>
        <w:rPr>
          <w:sz w:val="18"/>
          <w:szCs w:val="18"/>
          <w:lang w:val="en-GB"/>
        </w:rPr>
        <w:t xml:space="preserve">enhanced </w:t>
      </w:r>
      <w:r w:rsidRPr="002E5E68">
        <w:rPr>
          <w:sz w:val="18"/>
          <w:szCs w:val="18"/>
          <w:lang w:val="en-GB"/>
        </w:rPr>
        <w:t>action plan</w:t>
      </w:r>
      <w:r>
        <w:rPr>
          <w:sz w:val="18"/>
          <w:szCs w:val="18"/>
          <w:lang w:val="en-GB"/>
        </w:rPr>
        <w:t>s</w:t>
      </w:r>
      <w:r w:rsidRPr="002E5E68">
        <w:rPr>
          <w:sz w:val="18"/>
          <w:szCs w:val="18"/>
          <w:lang w:val="en-GB"/>
        </w:rPr>
        <w:t xml:space="preserve">—regularly and at least every 12 months, or without delay after significant changes </w:t>
      </w:r>
      <w:r>
        <w:rPr>
          <w:sz w:val="18"/>
          <w:szCs w:val="18"/>
          <w:lang w:val="en-GB"/>
        </w:rPr>
        <w:t xml:space="preserve">occur </w:t>
      </w:r>
      <w:r w:rsidRPr="002E5E68">
        <w:rPr>
          <w:sz w:val="18"/>
          <w:szCs w:val="18"/>
          <w:lang w:val="en-GB"/>
        </w:rPr>
        <w:t xml:space="preserve">or </w:t>
      </w:r>
      <w:r>
        <w:rPr>
          <w:sz w:val="18"/>
          <w:szCs w:val="18"/>
          <w:lang w:val="en-GB"/>
        </w:rPr>
        <w:t xml:space="preserve">when new risks are </w:t>
      </w:r>
      <w:r w:rsidRPr="002E5E68">
        <w:rPr>
          <w:sz w:val="18"/>
          <w:szCs w:val="18"/>
          <w:lang w:val="en-GB"/>
        </w:rPr>
        <w:t xml:space="preserve">identified. </w:t>
      </w:r>
      <w:r w:rsidRPr="0089092B">
        <w:rPr>
          <w:sz w:val="18"/>
          <w:szCs w:val="18"/>
          <w:lang w:val="en-GB"/>
        </w:rPr>
        <w:t xml:space="preserve">The follow-up shall focus on progress against </w:t>
      </w:r>
      <w:r>
        <w:rPr>
          <w:sz w:val="18"/>
          <w:szCs w:val="18"/>
          <w:lang w:val="en-GB"/>
        </w:rPr>
        <w:t xml:space="preserve">the </w:t>
      </w:r>
      <w:r w:rsidRPr="0089092B">
        <w:rPr>
          <w:sz w:val="18"/>
          <w:szCs w:val="18"/>
          <w:lang w:val="en-GB"/>
        </w:rPr>
        <w:t xml:space="preserve">measures, timelines and </w:t>
      </w:r>
      <w:r>
        <w:rPr>
          <w:sz w:val="18"/>
          <w:szCs w:val="18"/>
          <w:lang w:val="en-GB"/>
        </w:rPr>
        <w:t>responsibilities</w:t>
      </w:r>
      <w:r w:rsidRPr="0089092B">
        <w:rPr>
          <w:sz w:val="18"/>
          <w:szCs w:val="18"/>
          <w:lang w:val="en-GB"/>
        </w:rPr>
        <w:t>, and ensure that any deviations are addressed.</w:t>
      </w:r>
      <w:r w:rsidR="0092283B">
        <w:rPr>
          <w:sz w:val="18"/>
          <w:szCs w:val="18"/>
          <w:lang w:val="en-GB"/>
        </w:rPr>
        <w:t xml:space="preserve"> It shall also, to the extent possible, be informed by meaningful consultations with affected stakeholders or their representatives.</w:t>
      </w:r>
    </w:p>
    <w:p w14:paraId="3D4EB1CE" w14:textId="21DDE15A" w:rsidR="002B0B5F" w:rsidRPr="00495F9F" w:rsidRDefault="002B0B5F" w:rsidP="002B0B5F">
      <w:pPr>
        <w:spacing w:line="360" w:lineRule="auto"/>
        <w:rPr>
          <w:i/>
          <w:iCs/>
          <w:sz w:val="18"/>
          <w:szCs w:val="18"/>
          <w:lang w:val="en-GB"/>
        </w:rPr>
      </w:pPr>
      <w:bookmarkStart w:id="7" w:name="_Hlk198039575"/>
      <w:r w:rsidRPr="00495F9F">
        <w:rPr>
          <w:i/>
          <w:iCs/>
          <w:sz w:val="18"/>
          <w:szCs w:val="18"/>
          <w:lang w:val="en-GB"/>
        </w:rPr>
        <w:t>3.1.3 Termination</w:t>
      </w:r>
      <w:r w:rsidR="00CE07B9">
        <w:rPr>
          <w:rStyle w:val="Fotnotsreferens"/>
          <w:i/>
          <w:iCs/>
          <w:sz w:val="18"/>
          <w:szCs w:val="18"/>
          <w:lang w:val="en-GB"/>
        </w:rPr>
        <w:footnoteReference w:id="16"/>
      </w:r>
      <w:r w:rsidRPr="00495F9F">
        <w:rPr>
          <w:i/>
          <w:iCs/>
          <w:sz w:val="18"/>
          <w:szCs w:val="18"/>
          <w:lang w:val="en-GB"/>
        </w:rPr>
        <w:t xml:space="preserve"> </w:t>
      </w:r>
    </w:p>
    <w:p w14:paraId="7600AEC2" w14:textId="68026E32" w:rsidR="002B0B5F" w:rsidRPr="002B0B5F" w:rsidRDefault="002B0B5F" w:rsidP="002B0B5F">
      <w:pPr>
        <w:spacing w:line="360" w:lineRule="auto"/>
        <w:rPr>
          <w:sz w:val="18"/>
          <w:szCs w:val="18"/>
          <w:lang w:val="en-GB"/>
        </w:rPr>
      </w:pPr>
      <w:r w:rsidRPr="002B0B5F">
        <w:rPr>
          <w:sz w:val="18"/>
          <w:szCs w:val="18"/>
          <w:lang w:val="en-GB"/>
        </w:rPr>
        <w:t xml:space="preserve">If there is no reasonable expectation that an enhanced action plan will succeed, or if it has failed/fails to prevent, mitigate or </w:t>
      </w:r>
      <w:proofErr w:type="gramStart"/>
      <w:r w:rsidR="003A3E88">
        <w:rPr>
          <w:sz w:val="18"/>
          <w:szCs w:val="18"/>
          <w:lang w:val="en-GB"/>
        </w:rPr>
        <w:t>bring to an end</w:t>
      </w:r>
      <w:proofErr w:type="gramEnd"/>
      <w:r w:rsidRPr="002B0B5F">
        <w:rPr>
          <w:sz w:val="18"/>
          <w:szCs w:val="18"/>
          <w:lang w:val="en-GB"/>
        </w:rPr>
        <w:t xml:space="preserve"> the specific adverse impact, </w:t>
      </w:r>
      <w:r w:rsidRPr="002B0B5F">
        <w:rPr>
          <w:sz w:val="18"/>
          <w:szCs w:val="18"/>
          <w:lang w:val="en-GB"/>
        </w:rPr>
        <w:lastRenderedPageBreak/>
        <w:t xml:space="preserve">[Contract Manager] shall terminate the </w:t>
      </w:r>
      <w:r w:rsidR="002933DC">
        <w:rPr>
          <w:sz w:val="18"/>
          <w:szCs w:val="18"/>
          <w:lang w:val="en-GB"/>
        </w:rPr>
        <w:t>contract</w:t>
      </w:r>
      <w:r w:rsidRPr="002B0B5F">
        <w:rPr>
          <w:sz w:val="18"/>
          <w:szCs w:val="18"/>
          <w:lang w:val="en-GB"/>
        </w:rPr>
        <w:t xml:space="preserve"> as a last resort.</w:t>
      </w:r>
    </w:p>
    <w:p w14:paraId="110FBE4E" w14:textId="605B859C" w:rsidR="002B0B5F" w:rsidRDefault="002B0B5F" w:rsidP="002B0B5F">
      <w:pPr>
        <w:spacing w:line="360" w:lineRule="auto"/>
        <w:rPr>
          <w:sz w:val="18"/>
          <w:szCs w:val="18"/>
          <w:lang w:val="en-GB"/>
        </w:rPr>
      </w:pPr>
      <w:r w:rsidRPr="002B0B5F">
        <w:rPr>
          <w:sz w:val="18"/>
          <w:szCs w:val="18"/>
          <w:lang w:val="en-GB"/>
        </w:rPr>
        <w:t>[</w:t>
      </w:r>
      <w:r w:rsidR="00D7063D">
        <w:rPr>
          <w:sz w:val="18"/>
          <w:szCs w:val="18"/>
          <w:lang w:val="en-GB"/>
        </w:rPr>
        <w:t>Sustainability Manager</w:t>
      </w:r>
      <w:r w:rsidRPr="002B0B5F">
        <w:rPr>
          <w:sz w:val="18"/>
          <w:szCs w:val="18"/>
          <w:lang w:val="en-GB"/>
        </w:rPr>
        <w:t xml:space="preserve">s] shall engage in meaningful consultations with </w:t>
      </w:r>
      <w:r w:rsidR="009D2658">
        <w:rPr>
          <w:sz w:val="18"/>
          <w:szCs w:val="18"/>
          <w:lang w:val="en-GB"/>
        </w:rPr>
        <w:t>affected stakeholders</w:t>
      </w:r>
      <w:r w:rsidRPr="002B0B5F">
        <w:rPr>
          <w:sz w:val="18"/>
          <w:szCs w:val="18"/>
          <w:lang w:val="en-GB"/>
        </w:rPr>
        <w:t xml:space="preserve"> or their representatives, ahead of termination</w:t>
      </w:r>
      <w:r>
        <w:rPr>
          <w:sz w:val="18"/>
          <w:szCs w:val="18"/>
          <w:lang w:val="en-GB"/>
        </w:rPr>
        <w:t xml:space="preserve"> of the </w:t>
      </w:r>
      <w:r w:rsidR="002933DC">
        <w:rPr>
          <w:sz w:val="18"/>
          <w:szCs w:val="18"/>
          <w:lang w:val="en-GB"/>
        </w:rPr>
        <w:t>contract</w:t>
      </w:r>
      <w:r w:rsidRPr="002B0B5F">
        <w:rPr>
          <w:sz w:val="18"/>
          <w:szCs w:val="18"/>
          <w:lang w:val="en-GB"/>
        </w:rPr>
        <w:t>. Where direct engagement is not feasible, [</w:t>
      </w:r>
      <w:r w:rsidR="00D7063D">
        <w:rPr>
          <w:sz w:val="18"/>
          <w:szCs w:val="18"/>
          <w:lang w:val="en-GB"/>
        </w:rPr>
        <w:t>Sustainability Manager</w:t>
      </w:r>
      <w:r w:rsidRPr="002B0B5F">
        <w:rPr>
          <w:sz w:val="18"/>
          <w:szCs w:val="18"/>
          <w:lang w:val="en-GB"/>
        </w:rPr>
        <w:t>s] shall consult with experts who can provide credible insights into adverse impacts and otherwise use credible and independent sources.</w:t>
      </w:r>
      <w:r w:rsidR="00E11435">
        <w:rPr>
          <w:rStyle w:val="Fotnotsreferens"/>
          <w:sz w:val="18"/>
          <w:szCs w:val="18"/>
          <w:lang w:val="en-GB"/>
        </w:rPr>
        <w:footnoteReference w:id="17"/>
      </w:r>
    </w:p>
    <w:p w14:paraId="5DE9908E" w14:textId="40F1BD25" w:rsidR="002B0B5F" w:rsidRPr="00495F9F" w:rsidRDefault="002B0B5F" w:rsidP="002B0B5F">
      <w:pPr>
        <w:spacing w:line="360" w:lineRule="auto"/>
        <w:rPr>
          <w:i/>
          <w:iCs/>
          <w:sz w:val="18"/>
          <w:szCs w:val="18"/>
          <w:lang w:val="en-GB"/>
        </w:rPr>
      </w:pPr>
      <w:bookmarkStart w:id="9" w:name="_Hlk198039643"/>
      <w:bookmarkEnd w:id="7"/>
      <w:r w:rsidRPr="00495F9F">
        <w:rPr>
          <w:i/>
          <w:iCs/>
          <w:sz w:val="18"/>
          <w:szCs w:val="18"/>
          <w:lang w:val="en-GB"/>
        </w:rPr>
        <w:t>3.1.4 Adverse impacts of suspension/termination</w:t>
      </w:r>
      <w:r w:rsidR="00CE07B9">
        <w:rPr>
          <w:rStyle w:val="Fotnotsreferens"/>
          <w:i/>
          <w:iCs/>
          <w:sz w:val="18"/>
          <w:szCs w:val="18"/>
          <w:lang w:val="en-GB"/>
        </w:rPr>
        <w:footnoteReference w:id="18"/>
      </w:r>
    </w:p>
    <w:p w14:paraId="645B9038" w14:textId="7308E2B0" w:rsidR="002B0B5F" w:rsidRPr="002B0B5F" w:rsidRDefault="002B0B5F" w:rsidP="002B0B5F">
      <w:pPr>
        <w:spacing w:line="360" w:lineRule="auto"/>
        <w:rPr>
          <w:sz w:val="18"/>
          <w:szCs w:val="18"/>
          <w:lang w:val="en-GB"/>
        </w:rPr>
      </w:pPr>
      <w:r w:rsidRPr="002B0B5F">
        <w:rPr>
          <w:sz w:val="18"/>
          <w:szCs w:val="18"/>
          <w:lang w:val="en-GB"/>
        </w:rPr>
        <w:t xml:space="preserve">Before suspending or terminating the </w:t>
      </w:r>
      <w:r w:rsidR="002933DC">
        <w:rPr>
          <w:sz w:val="18"/>
          <w:szCs w:val="18"/>
          <w:lang w:val="en-GB"/>
        </w:rPr>
        <w:t>contract</w:t>
      </w:r>
      <w:r w:rsidRPr="002B0B5F">
        <w:rPr>
          <w:sz w:val="18"/>
          <w:szCs w:val="18"/>
          <w:lang w:val="en-GB"/>
        </w:rPr>
        <w:t>, [</w:t>
      </w:r>
      <w:r w:rsidR="00D7063D">
        <w:rPr>
          <w:sz w:val="18"/>
          <w:szCs w:val="18"/>
          <w:lang w:val="en-GB"/>
        </w:rPr>
        <w:t>Sustainability Manager</w:t>
      </w:r>
      <w:r w:rsidRPr="002B0B5F">
        <w:rPr>
          <w:sz w:val="18"/>
          <w:szCs w:val="18"/>
          <w:lang w:val="en-GB"/>
        </w:rPr>
        <w:t>] shall assess whether doing so could lead to adverse impacts that are clearly more severe than the original impact. If so, the relationship may continue. [</w:t>
      </w:r>
      <w:r w:rsidR="00D7063D">
        <w:rPr>
          <w:sz w:val="18"/>
          <w:szCs w:val="18"/>
          <w:lang w:val="en-GB"/>
        </w:rPr>
        <w:t>Sustainability Manager</w:t>
      </w:r>
      <w:r w:rsidRPr="002B0B5F">
        <w:rPr>
          <w:sz w:val="18"/>
          <w:szCs w:val="18"/>
          <w:lang w:val="en-GB"/>
        </w:rPr>
        <w:t xml:space="preserve">] shall document the assessment and the reasons for not suspending or terminating the business relationship </w:t>
      </w:r>
      <w:r w:rsidR="00CE07B9">
        <w:rPr>
          <w:sz w:val="18"/>
          <w:szCs w:val="18"/>
          <w:lang w:val="en-GB"/>
        </w:rPr>
        <w:t>[</w:t>
      </w:r>
      <w:r w:rsidRPr="002B0B5F">
        <w:rPr>
          <w:sz w:val="18"/>
          <w:szCs w:val="18"/>
          <w:lang w:val="en-GB"/>
        </w:rPr>
        <w:t>and make the document and reasons available to [supervisory authority] upon request</w:t>
      </w:r>
      <w:r w:rsidR="00CE07B9">
        <w:rPr>
          <w:sz w:val="18"/>
          <w:szCs w:val="18"/>
          <w:lang w:val="en-GB"/>
        </w:rPr>
        <w:t>]</w:t>
      </w:r>
      <w:r w:rsidRPr="002B0B5F">
        <w:rPr>
          <w:sz w:val="18"/>
          <w:szCs w:val="18"/>
          <w:lang w:val="en-GB"/>
        </w:rPr>
        <w:t>.</w:t>
      </w:r>
      <w:r w:rsidR="00CE07B9">
        <w:rPr>
          <w:rStyle w:val="Fotnotsreferens"/>
          <w:sz w:val="18"/>
          <w:szCs w:val="18"/>
          <w:lang w:val="en-GB"/>
        </w:rPr>
        <w:footnoteReference w:id="19"/>
      </w:r>
    </w:p>
    <w:p w14:paraId="4947676D" w14:textId="7CCD1000" w:rsidR="002B0B5F" w:rsidRDefault="002B0B5F" w:rsidP="002B0B5F">
      <w:pPr>
        <w:spacing w:line="360" w:lineRule="auto"/>
        <w:rPr>
          <w:sz w:val="18"/>
          <w:szCs w:val="18"/>
          <w:lang w:val="en-GB"/>
        </w:rPr>
      </w:pPr>
      <w:r w:rsidRPr="002B0B5F">
        <w:rPr>
          <w:sz w:val="18"/>
          <w:szCs w:val="18"/>
          <w:lang w:val="en-GB"/>
        </w:rPr>
        <w:t>If [Company] decides to suspend or terminate the business relationship, [Contract Manager] shall, in consultation with [</w:t>
      </w:r>
      <w:r w:rsidR="00D7063D">
        <w:rPr>
          <w:sz w:val="18"/>
          <w:szCs w:val="18"/>
          <w:lang w:val="en-GB"/>
        </w:rPr>
        <w:t>Sustainability Manager</w:t>
      </w:r>
      <w:r w:rsidRPr="002B0B5F">
        <w:rPr>
          <w:sz w:val="18"/>
          <w:szCs w:val="18"/>
          <w:lang w:val="en-GB"/>
        </w:rPr>
        <w:t xml:space="preserve">], take steps to prevent, mitigate or </w:t>
      </w:r>
      <w:proofErr w:type="gramStart"/>
      <w:r>
        <w:rPr>
          <w:sz w:val="18"/>
          <w:szCs w:val="18"/>
          <w:lang w:val="en-GB"/>
        </w:rPr>
        <w:t>bring to an end</w:t>
      </w:r>
      <w:proofErr w:type="gramEnd"/>
      <w:r w:rsidRPr="002B0B5F">
        <w:rPr>
          <w:sz w:val="18"/>
          <w:szCs w:val="18"/>
          <w:lang w:val="en-GB"/>
        </w:rPr>
        <w:t xml:space="preserve"> any </w:t>
      </w:r>
      <w:r w:rsidRPr="002B0B5F">
        <w:rPr>
          <w:sz w:val="18"/>
          <w:szCs w:val="18"/>
          <w:lang w:val="en-GB"/>
        </w:rPr>
        <w:t>adverse impacts caused by the suspension or termination, provide reasonable notice to the supplier, and continuously review the decision.</w:t>
      </w:r>
    </w:p>
    <w:p w14:paraId="4877511C" w14:textId="25D416F4" w:rsidR="002B0B5F" w:rsidRPr="00495F9F" w:rsidRDefault="002B0B5F" w:rsidP="002B0B5F">
      <w:pPr>
        <w:spacing w:line="360" w:lineRule="auto"/>
        <w:rPr>
          <w:i/>
          <w:iCs/>
          <w:sz w:val="18"/>
          <w:szCs w:val="18"/>
          <w:lang w:val="en-GB"/>
        </w:rPr>
      </w:pPr>
      <w:r w:rsidRPr="00495F9F">
        <w:rPr>
          <w:i/>
          <w:iCs/>
          <w:sz w:val="18"/>
          <w:szCs w:val="18"/>
          <w:lang w:val="en-GB"/>
        </w:rPr>
        <w:t>3.1.5 If no suspension/termination</w:t>
      </w:r>
    </w:p>
    <w:p w14:paraId="00814BAA" w14:textId="2C7D0536" w:rsidR="002B0B5F" w:rsidRDefault="002B0B5F" w:rsidP="002B0B5F">
      <w:pPr>
        <w:spacing w:line="360" w:lineRule="auto"/>
        <w:rPr>
          <w:sz w:val="18"/>
          <w:szCs w:val="18"/>
          <w:lang w:val="en-GB"/>
        </w:rPr>
      </w:pPr>
      <w:r w:rsidRPr="002B0B5F">
        <w:rPr>
          <w:sz w:val="18"/>
          <w:szCs w:val="18"/>
          <w:lang w:val="en-GB"/>
        </w:rPr>
        <w:t>If [Company] decides not to suspend or terminate the business relationship, [</w:t>
      </w:r>
      <w:r w:rsidR="00D7063D">
        <w:rPr>
          <w:sz w:val="18"/>
          <w:szCs w:val="18"/>
          <w:lang w:val="en-GB"/>
        </w:rPr>
        <w:t>Sustainability Manager</w:t>
      </w:r>
      <w:r w:rsidRPr="002B0B5F">
        <w:rPr>
          <w:sz w:val="18"/>
          <w:szCs w:val="18"/>
          <w:lang w:val="en-GB"/>
        </w:rPr>
        <w:t>] shall monitor the adverse impact, and periodically reassess whether new or more effective measures are available.</w:t>
      </w:r>
    </w:p>
    <w:bookmarkEnd w:id="9"/>
    <w:p w14:paraId="5E0DED67" w14:textId="697AABF9" w:rsidR="004B7D6A" w:rsidRPr="00495F9F" w:rsidRDefault="004B7D6A" w:rsidP="002B0B5F">
      <w:pPr>
        <w:spacing w:line="360" w:lineRule="auto"/>
        <w:rPr>
          <w:b/>
          <w:bCs/>
          <w:sz w:val="18"/>
          <w:szCs w:val="18"/>
          <w:lang w:val="en-GB"/>
        </w:rPr>
      </w:pPr>
      <w:r w:rsidRPr="00495F9F">
        <w:rPr>
          <w:b/>
          <w:bCs/>
          <w:sz w:val="18"/>
          <w:szCs w:val="18"/>
          <w:lang w:val="en-GB"/>
        </w:rPr>
        <w:t xml:space="preserve">3.2 </w:t>
      </w:r>
      <w:r w:rsidR="004237D7" w:rsidRPr="00495F9F">
        <w:rPr>
          <w:b/>
          <w:bCs/>
          <w:sz w:val="18"/>
          <w:szCs w:val="18"/>
          <w:lang w:val="en-GB"/>
        </w:rPr>
        <w:t>Appropriate m</w:t>
      </w:r>
      <w:r w:rsidRPr="00495F9F">
        <w:rPr>
          <w:b/>
          <w:bCs/>
          <w:sz w:val="18"/>
          <w:szCs w:val="18"/>
          <w:lang w:val="en-GB"/>
        </w:rPr>
        <w:t>easures</w:t>
      </w:r>
    </w:p>
    <w:p w14:paraId="1734C94C" w14:textId="2B3CE6F5" w:rsidR="004B7D6A" w:rsidRPr="00495F9F" w:rsidRDefault="002B0B5F" w:rsidP="004B7D6A">
      <w:pPr>
        <w:spacing w:line="360" w:lineRule="auto"/>
        <w:rPr>
          <w:i/>
          <w:iCs/>
          <w:sz w:val="18"/>
          <w:szCs w:val="18"/>
          <w:lang w:val="en-GB"/>
        </w:rPr>
      </w:pPr>
      <w:r w:rsidRPr="00495F9F">
        <w:rPr>
          <w:i/>
          <w:iCs/>
          <w:sz w:val="18"/>
          <w:szCs w:val="18"/>
          <w:lang w:val="en-GB"/>
        </w:rPr>
        <w:t>3.2.1 Responsible purchasing practices</w:t>
      </w:r>
    </w:p>
    <w:p w14:paraId="59979CDD" w14:textId="142149AF" w:rsidR="002B0B5F" w:rsidRDefault="004237D7" w:rsidP="004B7D6A">
      <w:pPr>
        <w:spacing w:line="360" w:lineRule="auto"/>
        <w:rPr>
          <w:sz w:val="18"/>
          <w:szCs w:val="18"/>
          <w:lang w:val="en-GB"/>
        </w:rPr>
      </w:pPr>
      <w:bookmarkStart w:id="11" w:name="_Hlk198039668"/>
      <w:r w:rsidRPr="004237D7">
        <w:rPr>
          <w:sz w:val="18"/>
          <w:szCs w:val="18"/>
          <w:lang w:val="en-GB"/>
        </w:rPr>
        <w:t>[</w:t>
      </w:r>
      <w:r w:rsidR="002933DC">
        <w:rPr>
          <w:sz w:val="18"/>
          <w:szCs w:val="18"/>
          <w:lang w:val="en-GB"/>
        </w:rPr>
        <w:t>Category Managers] shall, in consultation with [</w:t>
      </w:r>
      <w:r w:rsidRPr="004237D7">
        <w:rPr>
          <w:sz w:val="18"/>
          <w:szCs w:val="18"/>
          <w:lang w:val="en-GB"/>
        </w:rPr>
        <w:t>Procurement Managers</w:t>
      </w:r>
      <w:r w:rsidR="002933DC">
        <w:rPr>
          <w:sz w:val="18"/>
          <w:szCs w:val="18"/>
          <w:lang w:val="en-GB"/>
        </w:rPr>
        <w:t>,</w:t>
      </w:r>
      <w:r w:rsidRPr="004237D7">
        <w:rPr>
          <w:sz w:val="18"/>
          <w:szCs w:val="18"/>
          <w:lang w:val="en-GB"/>
        </w:rPr>
        <w:t xml:space="preserve"> Contract Managers</w:t>
      </w:r>
      <w:r w:rsidR="002933DC">
        <w:rPr>
          <w:sz w:val="18"/>
          <w:szCs w:val="18"/>
          <w:lang w:val="en-GB"/>
        </w:rPr>
        <w:t xml:space="preserve"> and Sustainability Managers</w:t>
      </w:r>
      <w:r w:rsidRPr="004237D7">
        <w:rPr>
          <w:sz w:val="18"/>
          <w:szCs w:val="18"/>
          <w:lang w:val="en-GB"/>
        </w:rPr>
        <w:t xml:space="preserve">] </w:t>
      </w:r>
      <w:r>
        <w:rPr>
          <w:sz w:val="18"/>
          <w:szCs w:val="18"/>
          <w:lang w:val="en-GB"/>
        </w:rPr>
        <w:t>identify and</w:t>
      </w:r>
      <w:r w:rsidRPr="004237D7">
        <w:rPr>
          <w:sz w:val="18"/>
          <w:szCs w:val="18"/>
          <w:lang w:val="en-GB"/>
        </w:rPr>
        <w:t xml:space="preserve"> address barriers in [Company]’s own purchasing practices and commercial terms that may hinder suppliers’ ability to comply with </w:t>
      </w:r>
      <w:r w:rsidR="00675AC6">
        <w:rPr>
          <w:sz w:val="18"/>
          <w:szCs w:val="18"/>
          <w:lang w:val="en-GB"/>
        </w:rPr>
        <w:t xml:space="preserve">[Company]’s </w:t>
      </w:r>
      <w:r w:rsidRPr="004237D7">
        <w:rPr>
          <w:sz w:val="18"/>
          <w:szCs w:val="18"/>
          <w:lang w:val="en-GB"/>
        </w:rPr>
        <w:t xml:space="preserve">Supplier Code of Conduct or implement </w:t>
      </w:r>
      <w:r w:rsidR="0034629E">
        <w:rPr>
          <w:sz w:val="18"/>
          <w:szCs w:val="18"/>
          <w:lang w:val="en-GB"/>
        </w:rPr>
        <w:t>due diligence</w:t>
      </w:r>
      <w:r w:rsidRPr="004237D7">
        <w:rPr>
          <w:sz w:val="18"/>
          <w:szCs w:val="18"/>
          <w:lang w:val="en-GB"/>
        </w:rPr>
        <w:t>.</w:t>
      </w:r>
      <w:bookmarkEnd w:id="11"/>
      <w:r w:rsidR="009B332F">
        <w:rPr>
          <w:rStyle w:val="Fotnotsreferens"/>
          <w:sz w:val="18"/>
          <w:szCs w:val="18"/>
          <w:lang w:val="en-GB"/>
        </w:rPr>
        <w:footnoteReference w:id="20"/>
      </w:r>
      <w:r w:rsidRPr="004237D7">
        <w:rPr>
          <w:sz w:val="18"/>
          <w:szCs w:val="18"/>
          <w:lang w:val="en-GB"/>
        </w:rPr>
        <w:t xml:space="preserve"> Particular attention shall be paid to how [Company]’s purchasing practices may contribute to adverse impacts</w:t>
      </w:r>
      <w:r w:rsidR="00F40039">
        <w:rPr>
          <w:sz w:val="18"/>
          <w:szCs w:val="18"/>
          <w:lang w:val="en-GB"/>
        </w:rPr>
        <w:t>, s</w:t>
      </w:r>
      <w:r w:rsidRPr="004237D7">
        <w:rPr>
          <w:sz w:val="18"/>
          <w:szCs w:val="18"/>
          <w:lang w:val="en-GB"/>
        </w:rPr>
        <w:t>ee examples below:</w:t>
      </w:r>
    </w:p>
    <w:tbl>
      <w:tblPr>
        <w:tblStyle w:val="Tabellrutnt"/>
        <w:tblW w:w="0" w:type="auto"/>
        <w:tblBorders>
          <w:top w:val="single" w:sz="4" w:space="0" w:color="C7DAE1"/>
          <w:left w:val="single" w:sz="4" w:space="0" w:color="C7DAE1"/>
          <w:bottom w:val="single" w:sz="4" w:space="0" w:color="C7DAE1"/>
          <w:right w:val="single" w:sz="4" w:space="0" w:color="C7DAE1"/>
          <w:insideH w:val="single" w:sz="4" w:space="0" w:color="C7DAE1"/>
          <w:insideV w:val="single" w:sz="4" w:space="0" w:color="C7DAE1"/>
        </w:tblBorders>
        <w:tblLook w:val="04A0" w:firstRow="1" w:lastRow="0" w:firstColumn="1" w:lastColumn="0" w:noHBand="0" w:noVBand="1"/>
      </w:tblPr>
      <w:tblGrid>
        <w:gridCol w:w="1838"/>
        <w:gridCol w:w="1624"/>
      </w:tblGrid>
      <w:tr w:rsidR="00F40039" w:rsidRPr="00FB2E32" w14:paraId="68716696" w14:textId="77777777" w:rsidTr="00F40039">
        <w:tc>
          <w:tcPr>
            <w:tcW w:w="1838" w:type="dxa"/>
            <w:shd w:val="clear" w:color="auto" w:fill="C7DAE1"/>
          </w:tcPr>
          <w:p w14:paraId="4CE009E3" w14:textId="590BD3C0" w:rsidR="00F40039" w:rsidRPr="00FB2E32" w:rsidRDefault="00F40039" w:rsidP="006E4158">
            <w:pPr>
              <w:spacing w:before="120" w:line="360" w:lineRule="auto"/>
              <w:rPr>
                <w:b/>
                <w:bCs/>
                <w:sz w:val="14"/>
                <w:szCs w:val="14"/>
                <w:lang w:val="en-GB"/>
              </w:rPr>
            </w:pPr>
            <w:r>
              <w:rPr>
                <w:b/>
                <w:bCs/>
                <w:sz w:val="14"/>
                <w:szCs w:val="14"/>
                <w:lang w:val="en-GB"/>
              </w:rPr>
              <w:t>Time pressure</w:t>
            </w:r>
          </w:p>
        </w:tc>
        <w:tc>
          <w:tcPr>
            <w:tcW w:w="1624" w:type="dxa"/>
          </w:tcPr>
          <w:p w14:paraId="49E81B70" w14:textId="0EC8097A" w:rsidR="00F40039" w:rsidRPr="00FB2E32" w:rsidRDefault="00F40039" w:rsidP="006E4158">
            <w:pPr>
              <w:spacing w:before="120" w:line="360" w:lineRule="auto"/>
              <w:rPr>
                <w:sz w:val="14"/>
                <w:szCs w:val="14"/>
                <w:lang w:val="en-GB"/>
              </w:rPr>
            </w:pPr>
            <w:r w:rsidRPr="00F40039">
              <w:rPr>
                <w:sz w:val="14"/>
                <w:szCs w:val="14"/>
                <w:lang w:val="en-GB"/>
              </w:rPr>
              <w:t>Excessive overtime</w:t>
            </w:r>
          </w:p>
        </w:tc>
      </w:tr>
      <w:tr w:rsidR="00F40039" w:rsidRPr="00FB2E32" w14:paraId="05D52DA3" w14:textId="77777777" w:rsidTr="00F40039">
        <w:tc>
          <w:tcPr>
            <w:tcW w:w="1838" w:type="dxa"/>
            <w:shd w:val="clear" w:color="auto" w:fill="C7DAE1"/>
          </w:tcPr>
          <w:p w14:paraId="61796C98" w14:textId="180D9C7C" w:rsidR="00F40039" w:rsidRPr="00FB2E32" w:rsidRDefault="00F40039" w:rsidP="006E4158">
            <w:pPr>
              <w:spacing w:before="120" w:line="360" w:lineRule="auto"/>
              <w:rPr>
                <w:b/>
                <w:bCs/>
                <w:sz w:val="14"/>
                <w:szCs w:val="14"/>
                <w:lang w:val="en-GB"/>
              </w:rPr>
            </w:pPr>
            <w:r>
              <w:rPr>
                <w:b/>
                <w:bCs/>
                <w:sz w:val="14"/>
                <w:szCs w:val="14"/>
                <w:lang w:val="en-GB"/>
              </w:rPr>
              <w:t>Price pressure</w:t>
            </w:r>
          </w:p>
        </w:tc>
        <w:tc>
          <w:tcPr>
            <w:tcW w:w="1624" w:type="dxa"/>
          </w:tcPr>
          <w:p w14:paraId="0A47F6D6" w14:textId="1FA3BCA5" w:rsidR="00F40039" w:rsidRPr="00FB2E32" w:rsidRDefault="00F40039" w:rsidP="006E4158">
            <w:pPr>
              <w:spacing w:before="120" w:line="360" w:lineRule="auto"/>
              <w:rPr>
                <w:sz w:val="14"/>
                <w:szCs w:val="14"/>
                <w:lang w:val="en-GB"/>
              </w:rPr>
            </w:pPr>
            <w:r w:rsidRPr="00F40039">
              <w:rPr>
                <w:sz w:val="14"/>
                <w:szCs w:val="14"/>
                <w:lang w:val="en-GB"/>
              </w:rPr>
              <w:t>Unfair wages</w:t>
            </w:r>
          </w:p>
        </w:tc>
      </w:tr>
      <w:tr w:rsidR="00F40039" w:rsidRPr="00FB2E32" w14:paraId="687237E0" w14:textId="77777777" w:rsidTr="00F40039">
        <w:tc>
          <w:tcPr>
            <w:tcW w:w="1838" w:type="dxa"/>
            <w:shd w:val="clear" w:color="auto" w:fill="C7DAE1"/>
          </w:tcPr>
          <w:p w14:paraId="5E447B0A" w14:textId="4C4FC518" w:rsidR="00F40039" w:rsidRPr="00FB2E32" w:rsidRDefault="00F40039" w:rsidP="006E4158">
            <w:pPr>
              <w:spacing w:before="120" w:line="360" w:lineRule="auto"/>
              <w:rPr>
                <w:b/>
                <w:bCs/>
                <w:sz w:val="14"/>
                <w:szCs w:val="14"/>
                <w:lang w:val="en-GB"/>
              </w:rPr>
            </w:pPr>
            <w:r w:rsidRPr="00F40039">
              <w:rPr>
                <w:b/>
                <w:bCs/>
                <w:sz w:val="14"/>
                <w:szCs w:val="14"/>
                <w:lang w:val="en-GB"/>
              </w:rPr>
              <w:lastRenderedPageBreak/>
              <w:t>Last-minute order changes (e.g. increases in quantity or design changes)</w:t>
            </w:r>
          </w:p>
        </w:tc>
        <w:tc>
          <w:tcPr>
            <w:tcW w:w="1624" w:type="dxa"/>
          </w:tcPr>
          <w:p w14:paraId="04310AA6" w14:textId="43B6E608" w:rsidR="00F40039" w:rsidRPr="00FB2E32" w:rsidRDefault="00F40039" w:rsidP="006E4158">
            <w:pPr>
              <w:spacing w:before="120" w:line="360" w:lineRule="auto"/>
              <w:rPr>
                <w:sz w:val="14"/>
                <w:szCs w:val="14"/>
                <w:lang w:val="en-GB"/>
              </w:rPr>
            </w:pPr>
            <w:r w:rsidRPr="00F40039">
              <w:rPr>
                <w:sz w:val="14"/>
                <w:szCs w:val="14"/>
                <w:lang w:val="en-GB"/>
              </w:rPr>
              <w:t>Excessive overtime, insecure employment</w:t>
            </w:r>
          </w:p>
        </w:tc>
      </w:tr>
      <w:tr w:rsidR="00F40039" w:rsidRPr="00FB2E32" w14:paraId="650430ED" w14:textId="77777777" w:rsidTr="00F40039">
        <w:tc>
          <w:tcPr>
            <w:tcW w:w="1838" w:type="dxa"/>
            <w:shd w:val="clear" w:color="auto" w:fill="C7DAE1"/>
          </w:tcPr>
          <w:p w14:paraId="6D0425EB" w14:textId="7C40CE23" w:rsidR="00F40039" w:rsidRPr="00F40039" w:rsidRDefault="00F40039" w:rsidP="006E4158">
            <w:pPr>
              <w:spacing w:before="120" w:line="360" w:lineRule="auto"/>
              <w:rPr>
                <w:b/>
                <w:bCs/>
                <w:sz w:val="14"/>
                <w:szCs w:val="14"/>
                <w:lang w:val="en-GB"/>
              </w:rPr>
            </w:pPr>
            <w:r w:rsidRPr="00F40039">
              <w:rPr>
                <w:b/>
                <w:bCs/>
                <w:sz w:val="14"/>
                <w:szCs w:val="14"/>
                <w:lang w:val="en-GB"/>
              </w:rPr>
              <w:t>Changes to payment terms during the contract period</w:t>
            </w:r>
          </w:p>
        </w:tc>
        <w:tc>
          <w:tcPr>
            <w:tcW w:w="1624" w:type="dxa"/>
          </w:tcPr>
          <w:p w14:paraId="532F9F6E" w14:textId="2623803F" w:rsidR="00F40039" w:rsidRPr="00F40039" w:rsidRDefault="00F40039" w:rsidP="006E4158">
            <w:pPr>
              <w:spacing w:before="120" w:line="360" w:lineRule="auto"/>
              <w:rPr>
                <w:sz w:val="14"/>
                <w:szCs w:val="14"/>
                <w:lang w:val="en-GB"/>
              </w:rPr>
            </w:pPr>
            <w:r w:rsidRPr="00F40039">
              <w:rPr>
                <w:sz w:val="14"/>
                <w:szCs w:val="14"/>
                <w:lang w:val="en-GB"/>
              </w:rPr>
              <w:t>Unfair wages</w:t>
            </w:r>
          </w:p>
        </w:tc>
      </w:tr>
      <w:tr w:rsidR="00F40039" w:rsidRPr="00C2718F" w14:paraId="669ABABD" w14:textId="77777777" w:rsidTr="00F40039">
        <w:tc>
          <w:tcPr>
            <w:tcW w:w="1838" w:type="dxa"/>
            <w:shd w:val="clear" w:color="auto" w:fill="C7DAE1"/>
          </w:tcPr>
          <w:p w14:paraId="242ACE6A" w14:textId="45D28F32" w:rsidR="00F40039" w:rsidRPr="00F40039" w:rsidRDefault="00F40039" w:rsidP="006E4158">
            <w:pPr>
              <w:spacing w:before="120" w:line="360" w:lineRule="auto"/>
              <w:rPr>
                <w:b/>
                <w:bCs/>
                <w:sz w:val="14"/>
                <w:szCs w:val="14"/>
                <w:lang w:val="en-GB"/>
              </w:rPr>
            </w:pPr>
            <w:r w:rsidRPr="00F40039">
              <w:rPr>
                <w:b/>
                <w:bCs/>
                <w:sz w:val="14"/>
                <w:szCs w:val="14"/>
                <w:lang w:val="en-GB"/>
              </w:rPr>
              <w:t>Take-it-or-leave-it contracts that hinder supplier compliance</w:t>
            </w:r>
          </w:p>
        </w:tc>
        <w:tc>
          <w:tcPr>
            <w:tcW w:w="1624" w:type="dxa"/>
          </w:tcPr>
          <w:p w14:paraId="193D7ABF" w14:textId="0519E211" w:rsidR="00F40039" w:rsidRPr="00F40039" w:rsidRDefault="00F40039" w:rsidP="006E4158">
            <w:pPr>
              <w:spacing w:before="120" w:line="360" w:lineRule="auto"/>
              <w:rPr>
                <w:sz w:val="14"/>
                <w:szCs w:val="14"/>
                <w:lang w:val="en-GB"/>
              </w:rPr>
            </w:pPr>
            <w:r w:rsidRPr="00F40039">
              <w:rPr>
                <w:sz w:val="14"/>
                <w:szCs w:val="14"/>
                <w:lang w:val="en-GB"/>
              </w:rPr>
              <w:t>Deficiencies in health and safety, unfair wages, excessive overtime, insecure employment</w:t>
            </w:r>
          </w:p>
        </w:tc>
      </w:tr>
      <w:tr w:rsidR="00F40039" w:rsidRPr="00FB2E32" w14:paraId="67AC372C" w14:textId="77777777" w:rsidTr="00F40039">
        <w:tc>
          <w:tcPr>
            <w:tcW w:w="1838" w:type="dxa"/>
            <w:shd w:val="clear" w:color="auto" w:fill="C7DAE1"/>
          </w:tcPr>
          <w:p w14:paraId="23CEA966" w14:textId="7708D169" w:rsidR="00F40039" w:rsidRPr="00F40039" w:rsidRDefault="00F40039" w:rsidP="006E4158">
            <w:pPr>
              <w:spacing w:before="120" w:line="360" w:lineRule="auto"/>
              <w:rPr>
                <w:b/>
                <w:bCs/>
                <w:sz w:val="14"/>
                <w:szCs w:val="14"/>
                <w:lang w:val="en-GB"/>
              </w:rPr>
            </w:pPr>
            <w:r w:rsidRPr="00F40039">
              <w:rPr>
                <w:b/>
                <w:bCs/>
                <w:sz w:val="14"/>
                <w:szCs w:val="14"/>
                <w:lang w:val="en-GB"/>
              </w:rPr>
              <w:t>Insufficient weighting of sustainability in evaluation criteria</w:t>
            </w:r>
          </w:p>
        </w:tc>
        <w:tc>
          <w:tcPr>
            <w:tcW w:w="1624" w:type="dxa"/>
          </w:tcPr>
          <w:p w14:paraId="4A458280" w14:textId="3BFFB943" w:rsidR="00F40039" w:rsidRPr="00F40039" w:rsidRDefault="00F40039" w:rsidP="006E4158">
            <w:pPr>
              <w:spacing w:before="120" w:line="360" w:lineRule="auto"/>
              <w:rPr>
                <w:sz w:val="14"/>
                <w:szCs w:val="14"/>
                <w:lang w:val="en-GB"/>
              </w:rPr>
            </w:pPr>
            <w:r w:rsidRPr="00F40039">
              <w:rPr>
                <w:sz w:val="14"/>
                <w:szCs w:val="14"/>
                <w:lang w:val="en-GB"/>
              </w:rPr>
              <w:t>All commitments</w:t>
            </w:r>
          </w:p>
        </w:tc>
      </w:tr>
      <w:tr w:rsidR="00F40039" w:rsidRPr="00FB2E32" w14:paraId="46990E7C" w14:textId="77777777" w:rsidTr="00F40039">
        <w:tc>
          <w:tcPr>
            <w:tcW w:w="1838" w:type="dxa"/>
            <w:shd w:val="clear" w:color="auto" w:fill="C7DAE1"/>
          </w:tcPr>
          <w:p w14:paraId="385139FF" w14:textId="31153005" w:rsidR="00F40039" w:rsidRPr="00F40039" w:rsidRDefault="00F40039" w:rsidP="006E4158">
            <w:pPr>
              <w:spacing w:before="120" w:line="360" w:lineRule="auto"/>
              <w:rPr>
                <w:b/>
                <w:bCs/>
                <w:sz w:val="14"/>
                <w:szCs w:val="14"/>
                <w:lang w:val="en-GB"/>
              </w:rPr>
            </w:pPr>
            <w:r w:rsidRPr="00F40039">
              <w:rPr>
                <w:b/>
                <w:bCs/>
                <w:sz w:val="14"/>
                <w:szCs w:val="14"/>
                <w:lang w:val="en-GB"/>
              </w:rPr>
              <w:t>Lack of remedy for contributions to adverse impacts</w:t>
            </w:r>
          </w:p>
        </w:tc>
        <w:tc>
          <w:tcPr>
            <w:tcW w:w="1624" w:type="dxa"/>
          </w:tcPr>
          <w:p w14:paraId="1F2AC374" w14:textId="2E961961" w:rsidR="00F40039" w:rsidRPr="00F40039" w:rsidRDefault="00F40039" w:rsidP="006E4158">
            <w:pPr>
              <w:spacing w:before="120" w:line="360" w:lineRule="auto"/>
              <w:rPr>
                <w:sz w:val="14"/>
                <w:szCs w:val="14"/>
                <w:lang w:val="en-GB"/>
              </w:rPr>
            </w:pPr>
            <w:r w:rsidRPr="00F40039">
              <w:rPr>
                <w:sz w:val="14"/>
                <w:szCs w:val="14"/>
                <w:lang w:val="en-GB"/>
              </w:rPr>
              <w:t>All commitments</w:t>
            </w:r>
          </w:p>
        </w:tc>
      </w:tr>
      <w:tr w:rsidR="00F40039" w:rsidRPr="00FB2E32" w14:paraId="147045A0" w14:textId="77777777" w:rsidTr="00F40039">
        <w:tc>
          <w:tcPr>
            <w:tcW w:w="1838" w:type="dxa"/>
            <w:shd w:val="clear" w:color="auto" w:fill="C7DAE1"/>
          </w:tcPr>
          <w:p w14:paraId="647A415D" w14:textId="40594B66" w:rsidR="00F40039" w:rsidRPr="00F40039" w:rsidRDefault="00F40039" w:rsidP="006E4158">
            <w:pPr>
              <w:spacing w:before="120" w:line="360" w:lineRule="auto"/>
              <w:rPr>
                <w:b/>
                <w:bCs/>
                <w:sz w:val="14"/>
                <w:szCs w:val="14"/>
                <w:lang w:val="en-GB"/>
              </w:rPr>
            </w:pPr>
            <w:r w:rsidRPr="00F40039">
              <w:rPr>
                <w:b/>
                <w:bCs/>
                <w:sz w:val="14"/>
                <w:szCs w:val="14"/>
                <w:lang w:val="en-GB"/>
              </w:rPr>
              <w:t>Termination of contracts without responsible exits</w:t>
            </w:r>
          </w:p>
        </w:tc>
        <w:tc>
          <w:tcPr>
            <w:tcW w:w="1624" w:type="dxa"/>
          </w:tcPr>
          <w:p w14:paraId="412A7250" w14:textId="08BE5F4B" w:rsidR="00F40039" w:rsidRPr="00F40039" w:rsidRDefault="00F40039" w:rsidP="006E4158">
            <w:pPr>
              <w:spacing w:before="120" w:line="360" w:lineRule="auto"/>
              <w:rPr>
                <w:sz w:val="14"/>
                <w:szCs w:val="14"/>
                <w:lang w:val="en-GB"/>
              </w:rPr>
            </w:pPr>
            <w:r w:rsidRPr="00F40039">
              <w:rPr>
                <w:sz w:val="14"/>
                <w:szCs w:val="14"/>
                <w:lang w:val="en-GB"/>
              </w:rPr>
              <w:t>All commitments</w:t>
            </w:r>
          </w:p>
        </w:tc>
      </w:tr>
    </w:tbl>
    <w:p w14:paraId="2ACB1B38" w14:textId="77777777" w:rsidR="00F40039" w:rsidRDefault="00F40039" w:rsidP="004B7D6A">
      <w:pPr>
        <w:spacing w:line="360" w:lineRule="auto"/>
        <w:rPr>
          <w:sz w:val="18"/>
          <w:szCs w:val="18"/>
          <w:lang w:val="en-GB"/>
        </w:rPr>
      </w:pPr>
    </w:p>
    <w:p w14:paraId="2BA50FF6" w14:textId="3288B03A" w:rsidR="00F40039" w:rsidRPr="00495F9F" w:rsidRDefault="00F40039" w:rsidP="00F40039">
      <w:pPr>
        <w:spacing w:line="360" w:lineRule="auto"/>
        <w:rPr>
          <w:i/>
          <w:iCs/>
          <w:sz w:val="18"/>
          <w:szCs w:val="18"/>
          <w:lang w:val="en-GB"/>
        </w:rPr>
      </w:pPr>
      <w:r w:rsidRPr="00495F9F">
        <w:rPr>
          <w:i/>
          <w:iCs/>
          <w:sz w:val="18"/>
          <w:szCs w:val="18"/>
          <w:lang w:val="en-GB"/>
        </w:rPr>
        <w:t>3.2.</w:t>
      </w:r>
      <w:r w:rsidR="00EC6B76">
        <w:rPr>
          <w:i/>
          <w:iCs/>
          <w:sz w:val="18"/>
          <w:szCs w:val="18"/>
          <w:lang w:val="en-GB"/>
        </w:rPr>
        <w:t>2</w:t>
      </w:r>
      <w:r w:rsidRPr="00495F9F">
        <w:rPr>
          <w:i/>
          <w:iCs/>
          <w:sz w:val="18"/>
          <w:szCs w:val="18"/>
          <w:lang w:val="en-GB"/>
        </w:rPr>
        <w:t xml:space="preserve"> Leverage pre-contract</w:t>
      </w:r>
    </w:p>
    <w:p w14:paraId="38A37AB9" w14:textId="77777777" w:rsidR="00B6234D" w:rsidRPr="00F40039" w:rsidRDefault="00B6234D" w:rsidP="00B6234D">
      <w:pPr>
        <w:spacing w:line="360" w:lineRule="auto"/>
        <w:rPr>
          <w:sz w:val="18"/>
          <w:szCs w:val="18"/>
          <w:lang w:val="en-GB"/>
        </w:rPr>
      </w:pPr>
      <w:bookmarkStart w:id="13" w:name="_Hlk198039890"/>
      <w:r w:rsidRPr="00F40039">
        <w:rPr>
          <w:sz w:val="18"/>
          <w:szCs w:val="18"/>
          <w:lang w:val="en-GB"/>
        </w:rPr>
        <w:t>[</w:t>
      </w:r>
      <w:r>
        <w:rPr>
          <w:sz w:val="18"/>
          <w:szCs w:val="18"/>
          <w:lang w:val="en-GB"/>
        </w:rPr>
        <w:t>Sustainability Manager</w:t>
      </w:r>
      <w:r w:rsidRPr="00F40039">
        <w:rPr>
          <w:sz w:val="18"/>
          <w:szCs w:val="18"/>
          <w:lang w:val="en-GB"/>
        </w:rPr>
        <w:t xml:space="preserve">s] shall screen all suppliers against sanctions, politically exposed persons (PEPs), </w:t>
      </w:r>
      <w:r>
        <w:rPr>
          <w:sz w:val="18"/>
          <w:szCs w:val="18"/>
          <w:lang w:val="en-GB"/>
        </w:rPr>
        <w:t xml:space="preserve">and </w:t>
      </w:r>
      <w:r w:rsidRPr="00F40039">
        <w:rPr>
          <w:sz w:val="18"/>
          <w:szCs w:val="18"/>
          <w:lang w:val="en-GB"/>
        </w:rPr>
        <w:t xml:space="preserve">adverse media, </w:t>
      </w:r>
      <w:r>
        <w:rPr>
          <w:sz w:val="18"/>
          <w:szCs w:val="18"/>
          <w:lang w:val="en-GB"/>
        </w:rPr>
        <w:t>before entering contracts</w:t>
      </w:r>
      <w:r w:rsidRPr="00F40039">
        <w:rPr>
          <w:sz w:val="18"/>
          <w:szCs w:val="18"/>
          <w:lang w:val="en-GB"/>
        </w:rPr>
        <w:t xml:space="preserve">. </w:t>
      </w:r>
    </w:p>
    <w:bookmarkEnd w:id="13"/>
    <w:p w14:paraId="72A7D0D0" w14:textId="70341F47" w:rsidR="00B6234D" w:rsidRPr="00B6234D" w:rsidRDefault="00B6234D" w:rsidP="00B6234D">
      <w:pPr>
        <w:spacing w:line="360" w:lineRule="auto"/>
        <w:rPr>
          <w:sz w:val="18"/>
          <w:szCs w:val="18"/>
          <w:lang w:val="en-GB"/>
        </w:rPr>
      </w:pPr>
      <w:r w:rsidRPr="00306C7A">
        <w:rPr>
          <w:sz w:val="18"/>
          <w:szCs w:val="18"/>
          <w:lang w:val="en-GB"/>
        </w:rPr>
        <w:t>[Procurement Managers]</w:t>
      </w:r>
      <w:r>
        <w:rPr>
          <w:sz w:val="18"/>
          <w:szCs w:val="18"/>
          <w:lang w:val="en-GB"/>
        </w:rPr>
        <w:t xml:space="preserve"> shall</w:t>
      </w:r>
      <w:r w:rsidRPr="00306C7A">
        <w:rPr>
          <w:sz w:val="18"/>
          <w:szCs w:val="18"/>
          <w:lang w:val="en-GB"/>
        </w:rPr>
        <w:t>, in consultation with [</w:t>
      </w:r>
      <w:r>
        <w:rPr>
          <w:sz w:val="18"/>
          <w:szCs w:val="18"/>
          <w:lang w:val="en-GB"/>
        </w:rPr>
        <w:t>Sustainability Manager</w:t>
      </w:r>
      <w:r w:rsidRPr="00306C7A">
        <w:rPr>
          <w:sz w:val="18"/>
          <w:szCs w:val="18"/>
          <w:lang w:val="en-GB"/>
        </w:rPr>
        <w:t xml:space="preserve">s], commission </w:t>
      </w:r>
      <w:r>
        <w:rPr>
          <w:sz w:val="18"/>
          <w:szCs w:val="18"/>
          <w:lang w:val="en-GB"/>
        </w:rPr>
        <w:t xml:space="preserve">or request </w:t>
      </w:r>
      <w:r w:rsidRPr="00306C7A">
        <w:rPr>
          <w:sz w:val="18"/>
          <w:szCs w:val="18"/>
          <w:lang w:val="en-GB"/>
        </w:rPr>
        <w:t xml:space="preserve">independent third-party verifications </w:t>
      </w:r>
      <w:r w:rsidRPr="00306C7A">
        <w:rPr>
          <w:sz w:val="18"/>
          <w:szCs w:val="18"/>
          <w:lang w:val="en-GB"/>
        </w:rPr>
        <w:t xml:space="preserve">(audits) </w:t>
      </w:r>
      <w:r>
        <w:rPr>
          <w:sz w:val="18"/>
          <w:szCs w:val="18"/>
          <w:lang w:val="en-GB"/>
        </w:rPr>
        <w:t xml:space="preserve">of suppliers in prioritised purchasing categories </w:t>
      </w:r>
      <w:r w:rsidRPr="00306C7A">
        <w:rPr>
          <w:sz w:val="18"/>
          <w:szCs w:val="18"/>
          <w:lang w:val="en-GB"/>
        </w:rPr>
        <w:t xml:space="preserve">before entering contracts. These audits may be </w:t>
      </w:r>
      <w:r w:rsidRPr="009E49A7">
        <w:rPr>
          <w:sz w:val="18"/>
          <w:szCs w:val="18"/>
          <w:lang w:val="en-GB"/>
        </w:rPr>
        <w:t>commissioned</w:t>
      </w:r>
      <w:r>
        <w:rPr>
          <w:sz w:val="18"/>
          <w:szCs w:val="18"/>
          <w:lang w:val="en-GB"/>
        </w:rPr>
        <w:t xml:space="preserve"> directly from [consultancy]</w:t>
      </w:r>
      <w:r w:rsidRPr="002E5E68">
        <w:rPr>
          <w:sz w:val="18"/>
          <w:szCs w:val="18"/>
          <w:lang w:val="en-GB"/>
        </w:rPr>
        <w:t>—</w:t>
      </w:r>
      <w:r>
        <w:rPr>
          <w:sz w:val="18"/>
          <w:szCs w:val="18"/>
          <w:lang w:val="en-GB"/>
        </w:rPr>
        <w:t>or</w:t>
      </w:r>
      <w:r w:rsidRPr="009E49A7">
        <w:rPr>
          <w:sz w:val="18"/>
          <w:szCs w:val="18"/>
          <w:lang w:val="en-GB"/>
        </w:rPr>
        <w:t xml:space="preserve"> requested from</w:t>
      </w:r>
      <w:r>
        <w:rPr>
          <w:sz w:val="18"/>
          <w:szCs w:val="18"/>
          <w:lang w:val="en-GB"/>
        </w:rPr>
        <w:t xml:space="preserve"> suppliers if already commissioned by</w:t>
      </w:r>
      <w:r w:rsidRPr="009E49A7">
        <w:rPr>
          <w:sz w:val="18"/>
          <w:szCs w:val="18"/>
          <w:lang w:val="en-GB"/>
        </w:rPr>
        <w:t xml:space="preserve"> other parties</w:t>
      </w:r>
      <w:r w:rsidRPr="002E5E68">
        <w:rPr>
          <w:sz w:val="18"/>
          <w:szCs w:val="18"/>
          <w:lang w:val="en-GB"/>
        </w:rPr>
        <w:t>—</w:t>
      </w:r>
      <w:r>
        <w:rPr>
          <w:sz w:val="18"/>
          <w:szCs w:val="18"/>
          <w:lang w:val="en-GB"/>
        </w:rPr>
        <w:t>and</w:t>
      </w:r>
      <w:r w:rsidRPr="009E49A7">
        <w:rPr>
          <w:sz w:val="18"/>
          <w:szCs w:val="18"/>
          <w:lang w:val="en-GB"/>
        </w:rPr>
        <w:t xml:space="preserve"> may be conducted by industry or multi-stakeholder initiatives. </w:t>
      </w:r>
      <w:r>
        <w:rPr>
          <w:sz w:val="18"/>
          <w:szCs w:val="18"/>
          <w:lang w:val="en-GB"/>
        </w:rPr>
        <w:t xml:space="preserve">Regardless of commissioning, audits </w:t>
      </w:r>
      <w:r w:rsidRPr="00306C7A">
        <w:rPr>
          <w:sz w:val="18"/>
          <w:szCs w:val="18"/>
          <w:lang w:val="en-GB"/>
        </w:rPr>
        <w:t xml:space="preserve">shall have a particular focus on the prioritised adverse impacts in the specific case and be informed by meaningful consultations with affected stakeholders or their representatives. </w:t>
      </w:r>
      <w:r w:rsidRPr="00A724AD">
        <w:rPr>
          <w:sz w:val="18"/>
          <w:szCs w:val="18"/>
          <w:lang w:val="en-GB"/>
        </w:rPr>
        <w:t>If a</w:t>
      </w:r>
      <w:r w:rsidR="009E0E96">
        <w:rPr>
          <w:sz w:val="18"/>
          <w:szCs w:val="18"/>
          <w:lang w:val="en-GB"/>
        </w:rPr>
        <w:t>n a</w:t>
      </w:r>
      <w:r w:rsidRPr="00A724AD">
        <w:rPr>
          <w:sz w:val="18"/>
          <w:szCs w:val="18"/>
          <w:lang w:val="en-GB"/>
        </w:rPr>
        <w:t>udit identif</w:t>
      </w:r>
      <w:r w:rsidR="009E0E96">
        <w:rPr>
          <w:sz w:val="18"/>
          <w:szCs w:val="18"/>
          <w:lang w:val="en-GB"/>
        </w:rPr>
        <w:t>ies</w:t>
      </w:r>
      <w:r w:rsidRPr="00A724AD">
        <w:rPr>
          <w:sz w:val="18"/>
          <w:szCs w:val="18"/>
          <w:lang w:val="en-GB"/>
        </w:rPr>
        <w:t xml:space="preserve"> </w:t>
      </w:r>
      <w:r w:rsidRPr="00A724AD">
        <w:rPr>
          <w:i/>
          <w:iCs/>
          <w:sz w:val="18"/>
          <w:szCs w:val="18"/>
          <w:lang w:val="en-GB"/>
        </w:rPr>
        <w:t>severe</w:t>
      </w:r>
      <w:r>
        <w:rPr>
          <w:sz w:val="18"/>
          <w:szCs w:val="18"/>
          <w:lang w:val="en-GB"/>
        </w:rPr>
        <w:t xml:space="preserve"> </w:t>
      </w:r>
      <w:r w:rsidRPr="00A724AD">
        <w:rPr>
          <w:sz w:val="18"/>
          <w:szCs w:val="18"/>
          <w:lang w:val="en-GB"/>
        </w:rPr>
        <w:t xml:space="preserve">adverse impacts, [Procurement Managers] shall </w:t>
      </w:r>
      <w:r>
        <w:rPr>
          <w:sz w:val="18"/>
          <w:szCs w:val="18"/>
          <w:lang w:val="en-GB"/>
        </w:rPr>
        <w:t>require</w:t>
      </w:r>
      <w:r w:rsidRPr="00A724AD">
        <w:rPr>
          <w:sz w:val="18"/>
          <w:szCs w:val="18"/>
          <w:lang w:val="en-GB"/>
        </w:rPr>
        <w:t xml:space="preserve"> </w:t>
      </w:r>
      <w:r w:rsidR="009E0E96">
        <w:rPr>
          <w:sz w:val="18"/>
          <w:szCs w:val="18"/>
          <w:lang w:val="en-GB"/>
        </w:rPr>
        <w:t xml:space="preserve">the </w:t>
      </w:r>
      <w:r w:rsidRPr="00A724AD">
        <w:rPr>
          <w:sz w:val="18"/>
          <w:szCs w:val="18"/>
          <w:lang w:val="en-GB"/>
        </w:rPr>
        <w:t>supplier</w:t>
      </w:r>
      <w:r w:rsidR="00A724AD">
        <w:rPr>
          <w:sz w:val="18"/>
          <w:szCs w:val="18"/>
          <w:lang w:val="en-GB"/>
        </w:rPr>
        <w:t xml:space="preserve"> to correct and, where needed, remediate the </w:t>
      </w:r>
      <w:r w:rsidR="009E0E96">
        <w:rPr>
          <w:sz w:val="18"/>
          <w:szCs w:val="18"/>
          <w:lang w:val="en-GB"/>
        </w:rPr>
        <w:t xml:space="preserve">severe </w:t>
      </w:r>
      <w:r w:rsidR="00A724AD">
        <w:rPr>
          <w:sz w:val="18"/>
          <w:szCs w:val="18"/>
          <w:lang w:val="en-GB"/>
        </w:rPr>
        <w:t xml:space="preserve">adverse impacts </w:t>
      </w:r>
      <w:r w:rsidRPr="00A724AD">
        <w:rPr>
          <w:sz w:val="18"/>
          <w:szCs w:val="18"/>
          <w:lang w:val="en-GB"/>
        </w:rPr>
        <w:t xml:space="preserve">before </w:t>
      </w:r>
      <w:r w:rsidR="00A724AD">
        <w:rPr>
          <w:sz w:val="18"/>
          <w:szCs w:val="18"/>
          <w:lang w:val="en-GB"/>
        </w:rPr>
        <w:t xml:space="preserve">entering </w:t>
      </w:r>
      <w:r w:rsidRPr="00A724AD">
        <w:rPr>
          <w:sz w:val="18"/>
          <w:szCs w:val="18"/>
          <w:lang w:val="en-GB"/>
        </w:rPr>
        <w:t>contract</w:t>
      </w:r>
      <w:r w:rsidR="00A724AD">
        <w:rPr>
          <w:sz w:val="18"/>
          <w:szCs w:val="18"/>
          <w:lang w:val="en-GB"/>
        </w:rPr>
        <w:t>s</w:t>
      </w:r>
      <w:r w:rsidRPr="00A724AD">
        <w:rPr>
          <w:sz w:val="18"/>
          <w:szCs w:val="18"/>
          <w:lang w:val="en-GB"/>
        </w:rPr>
        <w:t>.</w:t>
      </w:r>
    </w:p>
    <w:p w14:paraId="7392BFDE" w14:textId="61733B61" w:rsidR="00F40039" w:rsidRPr="00F40039" w:rsidRDefault="00F40039" w:rsidP="00F40039">
      <w:pPr>
        <w:spacing w:line="360" w:lineRule="auto"/>
        <w:rPr>
          <w:sz w:val="18"/>
          <w:szCs w:val="18"/>
          <w:lang w:val="en-GB"/>
        </w:rPr>
      </w:pPr>
      <w:r w:rsidRPr="00F40039">
        <w:rPr>
          <w:sz w:val="18"/>
          <w:szCs w:val="18"/>
          <w:lang w:val="en-GB"/>
        </w:rPr>
        <w:t>[Procurement Managers] shall, in consultation with [</w:t>
      </w:r>
      <w:r w:rsidR="00D7063D">
        <w:rPr>
          <w:sz w:val="18"/>
          <w:szCs w:val="18"/>
          <w:lang w:val="en-GB"/>
        </w:rPr>
        <w:t>Sustainability Manager</w:t>
      </w:r>
      <w:r w:rsidRPr="00F40039">
        <w:rPr>
          <w:sz w:val="18"/>
          <w:szCs w:val="18"/>
          <w:lang w:val="en-GB"/>
        </w:rPr>
        <w:t>s], pre-qualify suppliers in prioritised purchasing categories based on due diligence and the prioritised adverse impacts in the specific case, and use award criteria for due diligence and prioritised adverse impacts where appropriate.</w:t>
      </w:r>
      <w:r w:rsidR="008A1AAA">
        <w:rPr>
          <w:rStyle w:val="Fotnotsreferens"/>
          <w:sz w:val="18"/>
          <w:szCs w:val="18"/>
          <w:lang w:val="en-GB"/>
        </w:rPr>
        <w:footnoteReference w:id="21"/>
      </w:r>
      <w:r w:rsidRPr="00F40039">
        <w:rPr>
          <w:sz w:val="18"/>
          <w:szCs w:val="18"/>
          <w:lang w:val="en-GB"/>
        </w:rPr>
        <w:t xml:space="preserve"> </w:t>
      </w:r>
    </w:p>
    <w:p w14:paraId="5FD7A141" w14:textId="39F36112" w:rsidR="00F40039" w:rsidRPr="00F40039" w:rsidRDefault="00F40039" w:rsidP="00F40039">
      <w:pPr>
        <w:spacing w:line="360" w:lineRule="auto"/>
        <w:rPr>
          <w:sz w:val="18"/>
          <w:szCs w:val="18"/>
          <w:lang w:val="en-GB"/>
        </w:rPr>
      </w:pPr>
      <w:r w:rsidRPr="00F40039">
        <w:rPr>
          <w:sz w:val="18"/>
          <w:szCs w:val="18"/>
          <w:lang w:val="en-GB"/>
        </w:rPr>
        <w:t xml:space="preserve">[Procurement Managers] shall require </w:t>
      </w:r>
      <w:r w:rsidRPr="00675AC6">
        <w:rPr>
          <w:i/>
          <w:iCs/>
          <w:sz w:val="18"/>
          <w:szCs w:val="18"/>
          <w:lang w:val="en-GB"/>
        </w:rPr>
        <w:t>all</w:t>
      </w:r>
      <w:r w:rsidRPr="00F40039">
        <w:rPr>
          <w:sz w:val="18"/>
          <w:szCs w:val="18"/>
          <w:lang w:val="en-GB"/>
        </w:rPr>
        <w:t xml:space="preserve"> suppliers to provide contractual assurances of compliance with [Company]’s Supplier Code of Conduct and to cascade these assurances to sub-suppliers. [Procurement Managers] may also seek contractual </w:t>
      </w:r>
      <w:r w:rsidRPr="00F40039">
        <w:rPr>
          <w:sz w:val="18"/>
          <w:szCs w:val="18"/>
          <w:lang w:val="en-GB"/>
        </w:rPr>
        <w:lastRenderedPageBreak/>
        <w:t xml:space="preserve">assurances directly from a sub-supplier in a </w:t>
      </w:r>
      <w:r w:rsidRPr="00675AC6">
        <w:rPr>
          <w:i/>
          <w:iCs/>
          <w:sz w:val="18"/>
          <w:szCs w:val="18"/>
          <w:lang w:val="en-GB"/>
        </w:rPr>
        <w:t>prioritised purchasing category</w:t>
      </w:r>
      <w:r w:rsidRPr="00F40039">
        <w:rPr>
          <w:sz w:val="18"/>
          <w:szCs w:val="18"/>
          <w:lang w:val="en-GB"/>
        </w:rPr>
        <w:t xml:space="preserve">, with a view to achieving compliance with </w:t>
      </w:r>
      <w:r w:rsidR="00675AC6">
        <w:rPr>
          <w:sz w:val="18"/>
          <w:szCs w:val="18"/>
          <w:lang w:val="en-GB"/>
        </w:rPr>
        <w:t xml:space="preserve">[Company]’s </w:t>
      </w:r>
      <w:r w:rsidRPr="00F40039">
        <w:rPr>
          <w:sz w:val="18"/>
          <w:szCs w:val="18"/>
          <w:lang w:val="en-GB"/>
        </w:rPr>
        <w:t>Supplier Code of Conduct.</w:t>
      </w:r>
    </w:p>
    <w:p w14:paraId="2167837C" w14:textId="293ABB94" w:rsidR="00F40039" w:rsidRDefault="00F40039" w:rsidP="00F40039">
      <w:pPr>
        <w:spacing w:line="360" w:lineRule="auto"/>
        <w:rPr>
          <w:sz w:val="18"/>
          <w:szCs w:val="18"/>
          <w:lang w:val="en-GB"/>
        </w:rPr>
      </w:pPr>
      <w:r w:rsidRPr="00F40039">
        <w:rPr>
          <w:sz w:val="18"/>
          <w:szCs w:val="18"/>
          <w:lang w:val="en-GB"/>
        </w:rPr>
        <w:t xml:space="preserve">[Procurement Managers] shall require suppliers in </w:t>
      </w:r>
      <w:r w:rsidRPr="00675AC6">
        <w:rPr>
          <w:i/>
          <w:iCs/>
          <w:sz w:val="18"/>
          <w:szCs w:val="18"/>
          <w:lang w:val="en-GB"/>
        </w:rPr>
        <w:t>prioritised purchasing categories</w:t>
      </w:r>
      <w:r w:rsidRPr="00F40039">
        <w:rPr>
          <w:sz w:val="18"/>
          <w:szCs w:val="18"/>
          <w:lang w:val="en-GB"/>
        </w:rPr>
        <w:t xml:space="preserve"> to conduct due diligence in line with the UN Guiding Principles </w:t>
      </w:r>
      <w:r w:rsidR="00675AC6">
        <w:rPr>
          <w:sz w:val="18"/>
          <w:szCs w:val="18"/>
          <w:lang w:val="en-GB"/>
        </w:rPr>
        <w:t xml:space="preserve">on Business and Human Rights </w:t>
      </w:r>
      <w:r w:rsidRPr="00F40039">
        <w:rPr>
          <w:sz w:val="18"/>
          <w:szCs w:val="18"/>
          <w:lang w:val="en-GB"/>
        </w:rPr>
        <w:t>and the OECD Due Diligence Guidance</w:t>
      </w:r>
      <w:r w:rsidR="00675AC6">
        <w:rPr>
          <w:sz w:val="18"/>
          <w:szCs w:val="18"/>
          <w:lang w:val="en-GB"/>
        </w:rPr>
        <w:t xml:space="preserve"> for Responsible Business Conduct</w:t>
      </w:r>
      <w:r w:rsidRPr="00F40039">
        <w:rPr>
          <w:sz w:val="18"/>
          <w:szCs w:val="18"/>
          <w:lang w:val="en-GB"/>
        </w:rPr>
        <w:t>,</w:t>
      </w:r>
      <w:r w:rsidR="008A1AAA">
        <w:rPr>
          <w:rStyle w:val="Fotnotsreferens"/>
          <w:sz w:val="18"/>
          <w:szCs w:val="18"/>
          <w:lang w:val="en-GB"/>
        </w:rPr>
        <w:footnoteReference w:id="22"/>
      </w:r>
      <w:r w:rsidRPr="00F40039">
        <w:rPr>
          <w:sz w:val="18"/>
          <w:szCs w:val="18"/>
          <w:lang w:val="en-GB"/>
        </w:rPr>
        <w:t xml:space="preserve"> </w:t>
      </w:r>
      <w:r w:rsidR="00A904BF" w:rsidRPr="00F40039">
        <w:rPr>
          <w:sz w:val="18"/>
          <w:szCs w:val="18"/>
          <w:lang w:val="en-GB"/>
        </w:rPr>
        <w:t xml:space="preserve">to cascade </w:t>
      </w:r>
      <w:r w:rsidR="00A904BF">
        <w:rPr>
          <w:sz w:val="18"/>
          <w:szCs w:val="18"/>
          <w:lang w:val="en-GB"/>
        </w:rPr>
        <w:t>this</w:t>
      </w:r>
      <w:r w:rsidR="00A904BF" w:rsidRPr="00F40039">
        <w:rPr>
          <w:sz w:val="18"/>
          <w:szCs w:val="18"/>
          <w:lang w:val="en-GB"/>
        </w:rPr>
        <w:t xml:space="preserve"> </w:t>
      </w:r>
      <w:r w:rsidR="00A904BF">
        <w:rPr>
          <w:sz w:val="18"/>
          <w:szCs w:val="18"/>
          <w:lang w:val="en-GB"/>
        </w:rPr>
        <w:t>requirement</w:t>
      </w:r>
      <w:r w:rsidR="00A904BF" w:rsidRPr="00F40039">
        <w:rPr>
          <w:sz w:val="18"/>
          <w:szCs w:val="18"/>
          <w:lang w:val="en-GB"/>
        </w:rPr>
        <w:t xml:space="preserve"> to sub-suppliers </w:t>
      </w:r>
      <w:r w:rsidRPr="00F40039">
        <w:rPr>
          <w:sz w:val="18"/>
          <w:szCs w:val="18"/>
          <w:lang w:val="en-GB"/>
        </w:rPr>
        <w:t xml:space="preserve">and to disclose </w:t>
      </w:r>
      <w:r w:rsidR="00675AC6">
        <w:rPr>
          <w:sz w:val="18"/>
          <w:szCs w:val="18"/>
          <w:lang w:val="en-GB"/>
        </w:rPr>
        <w:t xml:space="preserve">the </w:t>
      </w:r>
      <w:r w:rsidRPr="00F40039">
        <w:rPr>
          <w:sz w:val="18"/>
          <w:szCs w:val="18"/>
          <w:lang w:val="en-GB"/>
        </w:rPr>
        <w:t>suppliers and locations of final manufacturing and high-risk components and raw materials</w:t>
      </w:r>
      <w:r w:rsidR="00675AC6">
        <w:rPr>
          <w:sz w:val="18"/>
          <w:szCs w:val="18"/>
          <w:lang w:val="en-GB"/>
        </w:rPr>
        <w:t xml:space="preserve"> </w:t>
      </w:r>
      <w:r w:rsidRPr="00F40039">
        <w:rPr>
          <w:sz w:val="18"/>
          <w:szCs w:val="18"/>
          <w:lang w:val="en-GB"/>
        </w:rPr>
        <w:t>in the specific case.</w:t>
      </w:r>
      <w:r w:rsidR="009E49A7">
        <w:rPr>
          <w:sz w:val="18"/>
          <w:szCs w:val="18"/>
          <w:lang w:val="en-GB"/>
        </w:rPr>
        <w:t xml:space="preserve"> </w:t>
      </w:r>
    </w:p>
    <w:p w14:paraId="59D64D03" w14:textId="3BCBF836" w:rsidR="006D7894" w:rsidRDefault="006D7894" w:rsidP="00F40039">
      <w:pPr>
        <w:spacing w:line="360" w:lineRule="auto"/>
        <w:rPr>
          <w:sz w:val="18"/>
          <w:szCs w:val="18"/>
          <w:lang w:val="en-GB"/>
        </w:rPr>
      </w:pPr>
      <w:r w:rsidRPr="006D7894">
        <w:rPr>
          <w:sz w:val="18"/>
          <w:szCs w:val="18"/>
          <w:lang w:val="en-GB"/>
        </w:rPr>
        <w:t>When entering contracts or obtaining assurances from an SME, the terms shall be fair, reasonable, and non-discriminatory.</w:t>
      </w:r>
      <w:r w:rsidR="008A1AAA">
        <w:rPr>
          <w:rStyle w:val="Fotnotsreferens"/>
          <w:sz w:val="18"/>
          <w:szCs w:val="18"/>
          <w:lang w:val="en-GB"/>
        </w:rPr>
        <w:footnoteReference w:id="23"/>
      </w:r>
    </w:p>
    <w:p w14:paraId="0CD10324" w14:textId="26C588D5" w:rsidR="00675AC6" w:rsidRPr="00495F9F" w:rsidRDefault="00675AC6" w:rsidP="00F40039">
      <w:pPr>
        <w:spacing w:line="360" w:lineRule="auto"/>
        <w:rPr>
          <w:i/>
          <w:iCs/>
          <w:sz w:val="18"/>
          <w:szCs w:val="18"/>
          <w:lang w:val="en-GB"/>
        </w:rPr>
      </w:pPr>
      <w:r w:rsidRPr="00495F9F">
        <w:rPr>
          <w:i/>
          <w:iCs/>
          <w:sz w:val="18"/>
          <w:szCs w:val="18"/>
          <w:lang w:val="en-GB"/>
        </w:rPr>
        <w:t>3.2.</w:t>
      </w:r>
      <w:r w:rsidR="00EC6B76">
        <w:rPr>
          <w:i/>
          <w:iCs/>
          <w:sz w:val="18"/>
          <w:szCs w:val="18"/>
          <w:lang w:val="en-GB"/>
        </w:rPr>
        <w:t>3</w:t>
      </w:r>
      <w:r w:rsidRPr="00495F9F">
        <w:rPr>
          <w:i/>
          <w:iCs/>
          <w:sz w:val="18"/>
          <w:szCs w:val="18"/>
          <w:lang w:val="en-GB"/>
        </w:rPr>
        <w:t xml:space="preserve"> Leverage during contract</w:t>
      </w:r>
    </w:p>
    <w:p w14:paraId="1B661F86" w14:textId="21218AE7" w:rsidR="002F3EE8" w:rsidRPr="00675AC6" w:rsidRDefault="002F3EE8" w:rsidP="00675AC6">
      <w:pPr>
        <w:spacing w:line="360" w:lineRule="auto"/>
        <w:rPr>
          <w:sz w:val="18"/>
          <w:szCs w:val="18"/>
          <w:lang w:val="en-GB"/>
        </w:rPr>
      </w:pPr>
      <w:bookmarkStart w:id="14" w:name="_Hlk198042363"/>
      <w:r w:rsidRPr="002F3EE8">
        <w:rPr>
          <w:sz w:val="18"/>
          <w:szCs w:val="18"/>
          <w:lang w:val="en-GB"/>
        </w:rPr>
        <w:t>[Contract Managers] shall, in consultation with [</w:t>
      </w:r>
      <w:r w:rsidR="00D7063D">
        <w:rPr>
          <w:sz w:val="18"/>
          <w:szCs w:val="18"/>
          <w:lang w:val="en-GB"/>
        </w:rPr>
        <w:t>Sustainability Manager</w:t>
      </w:r>
      <w:r w:rsidRPr="002F3EE8">
        <w:rPr>
          <w:sz w:val="18"/>
          <w:szCs w:val="18"/>
          <w:lang w:val="en-GB"/>
        </w:rPr>
        <w:t xml:space="preserve">s], verify supplier compliance with [Company]’s Supplier Code of Conduct—focusing on </w:t>
      </w:r>
      <w:r w:rsidR="00AF5095">
        <w:rPr>
          <w:sz w:val="18"/>
          <w:szCs w:val="18"/>
          <w:lang w:val="en-GB"/>
        </w:rPr>
        <w:t xml:space="preserve">the </w:t>
      </w:r>
      <w:r w:rsidRPr="002F3EE8">
        <w:rPr>
          <w:sz w:val="18"/>
          <w:szCs w:val="18"/>
          <w:lang w:val="en-GB"/>
        </w:rPr>
        <w:t>prioritised adverse impacts</w:t>
      </w:r>
      <w:r w:rsidR="00AF5095">
        <w:rPr>
          <w:sz w:val="18"/>
          <w:szCs w:val="18"/>
          <w:lang w:val="en-GB"/>
        </w:rPr>
        <w:t xml:space="preserve"> in the specific case</w:t>
      </w:r>
      <w:r w:rsidRPr="004E6311">
        <w:rPr>
          <w:sz w:val="18"/>
          <w:szCs w:val="18"/>
          <w:lang w:val="en-GB"/>
        </w:rPr>
        <w:t>—</w:t>
      </w:r>
      <w:r w:rsidR="00D259E2">
        <w:rPr>
          <w:sz w:val="18"/>
          <w:szCs w:val="18"/>
          <w:lang w:val="en-GB"/>
        </w:rPr>
        <w:t xml:space="preserve">the </w:t>
      </w:r>
      <w:r w:rsidRPr="002F3EE8">
        <w:rPr>
          <w:sz w:val="18"/>
          <w:szCs w:val="18"/>
          <w:lang w:val="en-GB"/>
        </w:rPr>
        <w:t xml:space="preserve">due diligence </w:t>
      </w:r>
      <w:r>
        <w:rPr>
          <w:sz w:val="18"/>
          <w:szCs w:val="18"/>
          <w:lang w:val="en-GB"/>
        </w:rPr>
        <w:t>requirements</w:t>
      </w:r>
      <w:r w:rsidRPr="002F3EE8">
        <w:rPr>
          <w:sz w:val="18"/>
          <w:szCs w:val="18"/>
          <w:lang w:val="en-GB"/>
        </w:rPr>
        <w:t xml:space="preserve"> and requirements to disclose suppliers and </w:t>
      </w:r>
      <w:r>
        <w:rPr>
          <w:sz w:val="18"/>
          <w:szCs w:val="18"/>
          <w:lang w:val="en-GB"/>
        </w:rPr>
        <w:t>locations</w:t>
      </w:r>
      <w:r w:rsidRPr="002F3EE8">
        <w:rPr>
          <w:sz w:val="18"/>
          <w:szCs w:val="18"/>
          <w:lang w:val="en-GB"/>
        </w:rPr>
        <w:t>, where applicable.</w:t>
      </w:r>
    </w:p>
    <w:p w14:paraId="4F4B89D2" w14:textId="4160CF22" w:rsidR="00675AC6" w:rsidRDefault="00675AC6" w:rsidP="00675AC6">
      <w:pPr>
        <w:spacing w:line="360" w:lineRule="auto"/>
        <w:rPr>
          <w:sz w:val="18"/>
          <w:szCs w:val="18"/>
          <w:lang w:val="en-GB"/>
        </w:rPr>
      </w:pPr>
      <w:r w:rsidRPr="00675AC6">
        <w:rPr>
          <w:sz w:val="18"/>
          <w:szCs w:val="18"/>
          <w:lang w:val="en-GB"/>
        </w:rPr>
        <w:t>[</w:t>
      </w:r>
      <w:r w:rsidR="00D7063D">
        <w:rPr>
          <w:sz w:val="18"/>
          <w:szCs w:val="18"/>
          <w:lang w:val="en-GB"/>
        </w:rPr>
        <w:t>Sustainability Manager</w:t>
      </w:r>
      <w:r w:rsidRPr="00675AC6">
        <w:rPr>
          <w:sz w:val="18"/>
          <w:szCs w:val="18"/>
          <w:lang w:val="en-GB"/>
        </w:rPr>
        <w:t xml:space="preserve">s] shall at least annually screen all suppliers against </w:t>
      </w:r>
      <w:r w:rsidRPr="00675AC6">
        <w:rPr>
          <w:sz w:val="18"/>
          <w:szCs w:val="18"/>
          <w:lang w:val="en-GB"/>
        </w:rPr>
        <w:t>sanctions, politically exposed persons (PEPs),</w:t>
      </w:r>
      <w:r w:rsidR="00F47F8B">
        <w:rPr>
          <w:sz w:val="18"/>
          <w:szCs w:val="18"/>
          <w:lang w:val="en-GB"/>
        </w:rPr>
        <w:t xml:space="preserve"> and</w:t>
      </w:r>
      <w:r w:rsidRPr="00675AC6">
        <w:rPr>
          <w:sz w:val="18"/>
          <w:szCs w:val="18"/>
          <w:lang w:val="en-GB"/>
        </w:rPr>
        <w:t xml:space="preserve"> adverse media. </w:t>
      </w:r>
    </w:p>
    <w:p w14:paraId="23748E75" w14:textId="77777777" w:rsidR="009D33F3" w:rsidRDefault="00E33F45" w:rsidP="00675AC6">
      <w:pPr>
        <w:spacing w:line="360" w:lineRule="auto"/>
        <w:rPr>
          <w:sz w:val="18"/>
          <w:szCs w:val="18"/>
          <w:lang w:val="en-GB"/>
        </w:rPr>
      </w:pPr>
      <w:r w:rsidRPr="00E33F45">
        <w:rPr>
          <w:sz w:val="18"/>
          <w:szCs w:val="18"/>
          <w:lang w:val="en-GB"/>
        </w:rPr>
        <w:t>[Contract Managers] shall, in consultation with [</w:t>
      </w:r>
      <w:r w:rsidR="00D7063D">
        <w:rPr>
          <w:sz w:val="18"/>
          <w:szCs w:val="18"/>
          <w:lang w:val="en-GB"/>
        </w:rPr>
        <w:t>Sustainability Manager</w:t>
      </w:r>
      <w:r w:rsidRPr="00E33F45">
        <w:rPr>
          <w:sz w:val="18"/>
          <w:szCs w:val="18"/>
          <w:lang w:val="en-GB"/>
        </w:rPr>
        <w:t>s], request self-assessment</w:t>
      </w:r>
      <w:r>
        <w:rPr>
          <w:sz w:val="18"/>
          <w:szCs w:val="18"/>
          <w:lang w:val="en-GB"/>
        </w:rPr>
        <w:t>s</w:t>
      </w:r>
      <w:r w:rsidRPr="00E33F45">
        <w:rPr>
          <w:sz w:val="18"/>
          <w:szCs w:val="18"/>
          <w:lang w:val="en-GB"/>
        </w:rPr>
        <w:t xml:space="preserve"> from suppliers in prioritised purchasing categories [annually/every 3 years]</w:t>
      </w:r>
      <w:r w:rsidR="008A1AAA">
        <w:rPr>
          <w:rStyle w:val="Fotnotsreferens"/>
          <w:sz w:val="18"/>
          <w:szCs w:val="18"/>
          <w:lang w:val="en-GB"/>
        </w:rPr>
        <w:footnoteReference w:id="24"/>
      </w:r>
      <w:r w:rsidRPr="00E33F45">
        <w:rPr>
          <w:sz w:val="18"/>
          <w:szCs w:val="18"/>
          <w:lang w:val="en-GB"/>
        </w:rPr>
        <w:t xml:space="preserve"> and without undue delay after significant changes occur or when new risks are identified. The </w:t>
      </w:r>
      <w:r>
        <w:rPr>
          <w:sz w:val="18"/>
          <w:szCs w:val="18"/>
          <w:lang w:val="en-GB"/>
        </w:rPr>
        <w:t>self-assessments</w:t>
      </w:r>
      <w:r w:rsidRPr="00E33F45">
        <w:rPr>
          <w:sz w:val="18"/>
          <w:szCs w:val="18"/>
          <w:lang w:val="en-GB"/>
        </w:rPr>
        <w:t xml:space="preserve"> shall </w:t>
      </w:r>
      <w:r>
        <w:rPr>
          <w:sz w:val="18"/>
          <w:szCs w:val="18"/>
          <w:lang w:val="en-GB"/>
        </w:rPr>
        <w:t xml:space="preserve">have a particular </w:t>
      </w:r>
      <w:r w:rsidRPr="00E33F45">
        <w:rPr>
          <w:sz w:val="18"/>
          <w:szCs w:val="18"/>
          <w:lang w:val="en-GB"/>
        </w:rPr>
        <w:t xml:space="preserve">focus on the </w:t>
      </w:r>
      <w:r>
        <w:rPr>
          <w:sz w:val="18"/>
          <w:szCs w:val="18"/>
          <w:lang w:val="en-GB"/>
        </w:rPr>
        <w:t xml:space="preserve">prioritised adverse impacts and </w:t>
      </w:r>
      <w:r w:rsidRPr="00E33F45">
        <w:rPr>
          <w:sz w:val="18"/>
          <w:szCs w:val="18"/>
          <w:lang w:val="en-GB"/>
        </w:rPr>
        <w:t xml:space="preserve">include questions designed to assess the supplier’s </w:t>
      </w:r>
      <w:r>
        <w:rPr>
          <w:sz w:val="18"/>
          <w:szCs w:val="18"/>
          <w:lang w:val="en-GB"/>
        </w:rPr>
        <w:t xml:space="preserve">due diligence </w:t>
      </w:r>
      <w:r w:rsidRPr="00E33F45">
        <w:rPr>
          <w:sz w:val="18"/>
          <w:szCs w:val="18"/>
          <w:lang w:val="en-GB"/>
        </w:rPr>
        <w:t>capacity.</w:t>
      </w:r>
      <w:r w:rsidR="00F53AD7">
        <w:rPr>
          <w:sz w:val="18"/>
          <w:szCs w:val="18"/>
          <w:lang w:val="en-GB"/>
        </w:rPr>
        <w:t xml:space="preserve"> </w:t>
      </w:r>
      <w:r w:rsidR="00F53AD7" w:rsidRPr="00F53AD7">
        <w:rPr>
          <w:sz w:val="18"/>
          <w:szCs w:val="18"/>
          <w:lang w:val="en-GB"/>
        </w:rPr>
        <w:t xml:space="preserve">[Contract </w:t>
      </w:r>
      <w:r w:rsidR="00F53AD7">
        <w:rPr>
          <w:sz w:val="18"/>
          <w:szCs w:val="18"/>
          <w:lang w:val="en-GB"/>
        </w:rPr>
        <w:t xml:space="preserve">and Sustainability </w:t>
      </w:r>
      <w:r w:rsidR="00F53AD7" w:rsidRPr="00F53AD7">
        <w:rPr>
          <w:sz w:val="18"/>
          <w:szCs w:val="18"/>
          <w:lang w:val="en-GB"/>
        </w:rPr>
        <w:t>Managers]</w:t>
      </w:r>
      <w:r w:rsidR="00F53AD7">
        <w:rPr>
          <w:sz w:val="18"/>
          <w:szCs w:val="18"/>
          <w:lang w:val="en-GB"/>
        </w:rPr>
        <w:t xml:space="preserve"> </w:t>
      </w:r>
      <w:r w:rsidR="00F53AD7" w:rsidRPr="00F53AD7">
        <w:rPr>
          <w:sz w:val="18"/>
          <w:szCs w:val="18"/>
          <w:lang w:val="en-GB"/>
        </w:rPr>
        <w:t xml:space="preserve">shall not request self-assessments from micro enterprises and shall ensure that requests to </w:t>
      </w:r>
      <w:r w:rsidR="00F53AD7">
        <w:rPr>
          <w:sz w:val="18"/>
          <w:szCs w:val="18"/>
          <w:lang w:val="en-GB"/>
        </w:rPr>
        <w:t xml:space="preserve">SMEs </w:t>
      </w:r>
      <w:r w:rsidR="00F53AD7" w:rsidRPr="00F53AD7">
        <w:rPr>
          <w:sz w:val="18"/>
          <w:szCs w:val="18"/>
          <w:lang w:val="en-GB"/>
        </w:rPr>
        <w:t>are targeted</w:t>
      </w:r>
      <w:r w:rsidR="00F53AD7">
        <w:rPr>
          <w:sz w:val="18"/>
          <w:szCs w:val="18"/>
          <w:lang w:val="en-GB"/>
        </w:rPr>
        <w:t xml:space="preserve"> and </w:t>
      </w:r>
      <w:r w:rsidR="00F53AD7" w:rsidRPr="00F53AD7">
        <w:rPr>
          <w:sz w:val="18"/>
          <w:szCs w:val="18"/>
          <w:lang w:val="en-GB"/>
        </w:rPr>
        <w:t>proportionate</w:t>
      </w:r>
      <w:r w:rsidR="00F53AD7">
        <w:rPr>
          <w:sz w:val="18"/>
          <w:szCs w:val="18"/>
          <w:lang w:val="en-GB"/>
        </w:rPr>
        <w:t xml:space="preserve">. </w:t>
      </w:r>
      <w:bookmarkStart w:id="15" w:name="_Hlk195050342"/>
    </w:p>
    <w:p w14:paraId="04E331FD" w14:textId="0DEEF689" w:rsidR="00306C7A" w:rsidRDefault="009E49A7" w:rsidP="00675AC6">
      <w:pPr>
        <w:spacing w:line="360" w:lineRule="auto"/>
        <w:rPr>
          <w:sz w:val="18"/>
          <w:szCs w:val="18"/>
          <w:lang w:val="en-GB"/>
        </w:rPr>
      </w:pPr>
      <w:r w:rsidRPr="009E49A7">
        <w:rPr>
          <w:sz w:val="18"/>
          <w:szCs w:val="18"/>
          <w:lang w:val="en-GB"/>
        </w:rPr>
        <w:t xml:space="preserve">Where the self-assessments indicate risks or a lack of </w:t>
      </w:r>
      <w:r w:rsidR="00D259E2">
        <w:rPr>
          <w:sz w:val="18"/>
          <w:szCs w:val="18"/>
          <w:lang w:val="en-GB"/>
        </w:rPr>
        <w:t xml:space="preserve">sufficient </w:t>
      </w:r>
      <w:r w:rsidRPr="009E49A7">
        <w:rPr>
          <w:sz w:val="18"/>
          <w:szCs w:val="18"/>
          <w:lang w:val="en-GB"/>
        </w:rPr>
        <w:t>due diligence, [Contract Managers]</w:t>
      </w:r>
      <w:r w:rsidR="00306C7A">
        <w:rPr>
          <w:sz w:val="18"/>
          <w:szCs w:val="18"/>
          <w:lang w:val="en-GB"/>
        </w:rPr>
        <w:t xml:space="preserve"> shall</w:t>
      </w:r>
      <w:r w:rsidRPr="009E49A7">
        <w:rPr>
          <w:sz w:val="18"/>
          <w:szCs w:val="18"/>
          <w:lang w:val="en-GB"/>
        </w:rPr>
        <w:t>, in consultation with [</w:t>
      </w:r>
      <w:r w:rsidR="00D7063D">
        <w:rPr>
          <w:sz w:val="18"/>
          <w:szCs w:val="18"/>
          <w:lang w:val="en-GB"/>
        </w:rPr>
        <w:t>Sustainability Manager</w:t>
      </w:r>
      <w:r w:rsidRPr="009E49A7">
        <w:rPr>
          <w:sz w:val="18"/>
          <w:szCs w:val="18"/>
          <w:lang w:val="en-GB"/>
        </w:rPr>
        <w:t xml:space="preserve">s], </w:t>
      </w:r>
      <w:r>
        <w:rPr>
          <w:sz w:val="18"/>
          <w:szCs w:val="18"/>
          <w:lang w:val="en-GB"/>
        </w:rPr>
        <w:t>follow-up with</w:t>
      </w:r>
      <w:r w:rsidRPr="009E49A7">
        <w:rPr>
          <w:sz w:val="18"/>
          <w:szCs w:val="18"/>
          <w:lang w:val="en-GB"/>
        </w:rPr>
        <w:t xml:space="preserve"> independent third-party verifications (audits). These audits may be commissioned</w:t>
      </w:r>
      <w:r w:rsidR="00306C7A">
        <w:rPr>
          <w:sz w:val="18"/>
          <w:szCs w:val="18"/>
          <w:lang w:val="en-GB"/>
        </w:rPr>
        <w:t xml:space="preserve"> </w:t>
      </w:r>
      <w:r w:rsidR="00C672BB">
        <w:rPr>
          <w:sz w:val="18"/>
          <w:szCs w:val="18"/>
          <w:lang w:val="en-GB"/>
        </w:rPr>
        <w:t xml:space="preserve">directly </w:t>
      </w:r>
      <w:r w:rsidR="0034629E">
        <w:rPr>
          <w:sz w:val="18"/>
          <w:szCs w:val="18"/>
          <w:lang w:val="en-GB"/>
        </w:rPr>
        <w:t xml:space="preserve">from [consultancy] </w:t>
      </w:r>
      <w:r w:rsidR="00C672BB">
        <w:rPr>
          <w:sz w:val="18"/>
          <w:szCs w:val="18"/>
          <w:lang w:val="en-GB"/>
        </w:rPr>
        <w:t>or</w:t>
      </w:r>
      <w:r w:rsidRPr="009E49A7">
        <w:rPr>
          <w:sz w:val="18"/>
          <w:szCs w:val="18"/>
          <w:lang w:val="en-GB"/>
        </w:rPr>
        <w:t xml:space="preserve"> requested from</w:t>
      </w:r>
      <w:r>
        <w:rPr>
          <w:sz w:val="18"/>
          <w:szCs w:val="18"/>
          <w:lang w:val="en-GB"/>
        </w:rPr>
        <w:t xml:space="preserve"> suppliers if </w:t>
      </w:r>
      <w:r w:rsidR="00306C7A">
        <w:rPr>
          <w:sz w:val="18"/>
          <w:szCs w:val="18"/>
          <w:lang w:val="en-GB"/>
        </w:rPr>
        <w:t xml:space="preserve">already </w:t>
      </w:r>
      <w:r>
        <w:rPr>
          <w:sz w:val="18"/>
          <w:szCs w:val="18"/>
          <w:lang w:val="en-GB"/>
        </w:rPr>
        <w:t>commissioned by</w:t>
      </w:r>
      <w:r w:rsidRPr="009E49A7">
        <w:rPr>
          <w:sz w:val="18"/>
          <w:szCs w:val="18"/>
          <w:lang w:val="en-GB"/>
        </w:rPr>
        <w:t xml:space="preserve"> other </w:t>
      </w:r>
      <w:proofErr w:type="gramStart"/>
      <w:r w:rsidR="00D259E2" w:rsidRPr="009E49A7">
        <w:rPr>
          <w:sz w:val="18"/>
          <w:szCs w:val="18"/>
          <w:lang w:val="en-GB"/>
        </w:rPr>
        <w:t>parties</w:t>
      </w:r>
      <w:r w:rsidR="001E6786">
        <w:rPr>
          <w:sz w:val="18"/>
          <w:szCs w:val="18"/>
          <w:lang w:val="en-GB"/>
        </w:rPr>
        <w:t>,</w:t>
      </w:r>
      <w:r w:rsidR="00D259E2">
        <w:rPr>
          <w:sz w:val="18"/>
          <w:szCs w:val="18"/>
          <w:lang w:val="en-GB"/>
        </w:rPr>
        <w:t xml:space="preserve"> and</w:t>
      </w:r>
      <w:proofErr w:type="gramEnd"/>
      <w:r w:rsidRPr="009E49A7">
        <w:rPr>
          <w:sz w:val="18"/>
          <w:szCs w:val="18"/>
          <w:lang w:val="en-GB"/>
        </w:rPr>
        <w:t xml:space="preserve"> may be conducted by industry or multi-stakeholder initiatives. </w:t>
      </w:r>
      <w:bookmarkEnd w:id="15"/>
      <w:r w:rsidR="00306C7A">
        <w:rPr>
          <w:sz w:val="18"/>
          <w:szCs w:val="18"/>
          <w:lang w:val="en-GB"/>
        </w:rPr>
        <w:t>Regardless</w:t>
      </w:r>
      <w:r w:rsidR="00A425F7">
        <w:rPr>
          <w:sz w:val="18"/>
          <w:szCs w:val="18"/>
          <w:lang w:val="en-GB"/>
        </w:rPr>
        <w:t xml:space="preserve"> of commissioning</w:t>
      </w:r>
      <w:r w:rsidR="00306C7A">
        <w:rPr>
          <w:sz w:val="18"/>
          <w:szCs w:val="18"/>
          <w:lang w:val="en-GB"/>
        </w:rPr>
        <w:t xml:space="preserve">, audits </w:t>
      </w:r>
      <w:r w:rsidR="00306C7A" w:rsidRPr="00306C7A">
        <w:rPr>
          <w:sz w:val="18"/>
          <w:szCs w:val="18"/>
          <w:lang w:val="en-GB"/>
        </w:rPr>
        <w:t xml:space="preserve">shall have a particular focus on the prioritised adverse impacts in the specific case and be informed by meaningful consultations with affected stakeholders or </w:t>
      </w:r>
      <w:r w:rsidR="00306C7A" w:rsidRPr="00306C7A">
        <w:rPr>
          <w:sz w:val="18"/>
          <w:szCs w:val="18"/>
          <w:lang w:val="en-GB"/>
        </w:rPr>
        <w:lastRenderedPageBreak/>
        <w:t xml:space="preserve">their representatives. </w:t>
      </w:r>
      <w:r w:rsidR="00A724AD" w:rsidRPr="00A724AD">
        <w:rPr>
          <w:sz w:val="18"/>
          <w:szCs w:val="18"/>
          <w:lang w:val="en-GB"/>
        </w:rPr>
        <w:t>If</w:t>
      </w:r>
      <w:r w:rsidR="00A724AD">
        <w:rPr>
          <w:sz w:val="18"/>
          <w:szCs w:val="18"/>
          <w:lang w:val="en-GB"/>
        </w:rPr>
        <w:t xml:space="preserve"> </w:t>
      </w:r>
      <w:r w:rsidR="00A724AD" w:rsidRPr="00A724AD">
        <w:rPr>
          <w:sz w:val="18"/>
          <w:szCs w:val="18"/>
          <w:lang w:val="en-GB"/>
        </w:rPr>
        <w:t>a</w:t>
      </w:r>
      <w:r w:rsidR="00EC6B76">
        <w:rPr>
          <w:sz w:val="18"/>
          <w:szCs w:val="18"/>
          <w:lang w:val="en-GB"/>
        </w:rPr>
        <w:t>n a</w:t>
      </w:r>
      <w:r w:rsidR="00A724AD" w:rsidRPr="00A724AD">
        <w:rPr>
          <w:sz w:val="18"/>
          <w:szCs w:val="18"/>
          <w:lang w:val="en-GB"/>
        </w:rPr>
        <w:t>udit identif</w:t>
      </w:r>
      <w:r w:rsidR="00EC6B76">
        <w:rPr>
          <w:sz w:val="18"/>
          <w:szCs w:val="18"/>
          <w:lang w:val="en-GB"/>
        </w:rPr>
        <w:t>ies</w:t>
      </w:r>
      <w:r w:rsidR="00A724AD" w:rsidRPr="00A724AD">
        <w:rPr>
          <w:sz w:val="18"/>
          <w:szCs w:val="18"/>
          <w:lang w:val="en-GB"/>
        </w:rPr>
        <w:t xml:space="preserve"> adverse impacts, [</w:t>
      </w:r>
      <w:r w:rsidR="00A724AD">
        <w:rPr>
          <w:sz w:val="18"/>
          <w:szCs w:val="18"/>
          <w:lang w:val="en-GB"/>
        </w:rPr>
        <w:t>Contract</w:t>
      </w:r>
      <w:r w:rsidR="00A724AD" w:rsidRPr="00A724AD">
        <w:rPr>
          <w:sz w:val="18"/>
          <w:szCs w:val="18"/>
          <w:lang w:val="en-GB"/>
        </w:rPr>
        <w:t xml:space="preserve"> Managers] shall </w:t>
      </w:r>
      <w:r w:rsidR="00A724AD">
        <w:rPr>
          <w:sz w:val="18"/>
          <w:szCs w:val="18"/>
          <w:lang w:val="en-GB"/>
        </w:rPr>
        <w:t>monitor</w:t>
      </w:r>
      <w:r w:rsidR="00A724AD" w:rsidRPr="00A724AD">
        <w:rPr>
          <w:sz w:val="18"/>
          <w:szCs w:val="18"/>
          <w:lang w:val="en-GB"/>
        </w:rPr>
        <w:t xml:space="preserve"> </w:t>
      </w:r>
      <w:r w:rsidR="00A724AD">
        <w:rPr>
          <w:sz w:val="18"/>
          <w:szCs w:val="18"/>
          <w:lang w:val="en-GB"/>
        </w:rPr>
        <w:t xml:space="preserve">that </w:t>
      </w:r>
      <w:r w:rsidR="00EC6B76">
        <w:rPr>
          <w:sz w:val="18"/>
          <w:szCs w:val="18"/>
          <w:lang w:val="en-GB"/>
        </w:rPr>
        <w:t xml:space="preserve">the </w:t>
      </w:r>
      <w:r w:rsidR="00A724AD" w:rsidRPr="00A724AD">
        <w:rPr>
          <w:sz w:val="18"/>
          <w:szCs w:val="18"/>
          <w:lang w:val="en-GB"/>
        </w:rPr>
        <w:t>supplier</w:t>
      </w:r>
      <w:r w:rsidR="00A724AD">
        <w:rPr>
          <w:sz w:val="18"/>
          <w:szCs w:val="18"/>
          <w:lang w:val="en-GB"/>
        </w:rPr>
        <w:t xml:space="preserve"> correct</w:t>
      </w:r>
      <w:r w:rsidR="00EC6B76">
        <w:rPr>
          <w:sz w:val="18"/>
          <w:szCs w:val="18"/>
          <w:lang w:val="en-GB"/>
        </w:rPr>
        <w:t>s</w:t>
      </w:r>
      <w:r w:rsidR="00A724AD">
        <w:rPr>
          <w:sz w:val="18"/>
          <w:szCs w:val="18"/>
          <w:lang w:val="en-GB"/>
        </w:rPr>
        <w:t xml:space="preserve"> and, where needed, remediate</w:t>
      </w:r>
      <w:r w:rsidR="00EC6B76">
        <w:rPr>
          <w:sz w:val="18"/>
          <w:szCs w:val="18"/>
          <w:lang w:val="en-GB"/>
        </w:rPr>
        <w:t>s</w:t>
      </w:r>
      <w:r w:rsidR="00A724AD">
        <w:rPr>
          <w:sz w:val="18"/>
          <w:szCs w:val="18"/>
          <w:lang w:val="en-GB"/>
        </w:rPr>
        <w:t xml:space="preserve"> the adverse impacts</w:t>
      </w:r>
      <w:r w:rsidR="00A724AD" w:rsidRPr="00A724AD">
        <w:rPr>
          <w:sz w:val="18"/>
          <w:szCs w:val="18"/>
          <w:lang w:val="en-GB"/>
        </w:rPr>
        <w:t>.</w:t>
      </w:r>
    </w:p>
    <w:p w14:paraId="5EC461CC" w14:textId="3241A85C" w:rsidR="00D259E2" w:rsidRDefault="00D259E2" w:rsidP="00675AC6">
      <w:pPr>
        <w:spacing w:line="360" w:lineRule="auto"/>
        <w:rPr>
          <w:sz w:val="18"/>
          <w:szCs w:val="18"/>
          <w:lang w:val="en-GB"/>
        </w:rPr>
      </w:pPr>
      <w:r w:rsidRPr="00D259E2">
        <w:rPr>
          <w:sz w:val="18"/>
          <w:szCs w:val="18"/>
          <w:lang w:val="en-GB"/>
        </w:rPr>
        <w:t>[Contract Managers] may, in consultation with [</w:t>
      </w:r>
      <w:r w:rsidR="00D7063D">
        <w:rPr>
          <w:sz w:val="18"/>
          <w:szCs w:val="18"/>
          <w:lang w:val="en-GB"/>
        </w:rPr>
        <w:t>Sustainability Manager</w:t>
      </w:r>
      <w:r w:rsidRPr="00D259E2">
        <w:rPr>
          <w:sz w:val="18"/>
          <w:szCs w:val="18"/>
          <w:lang w:val="en-GB"/>
        </w:rPr>
        <w:t xml:space="preserve">s], bypass self-assessments and proceed directly to audits, </w:t>
      </w:r>
      <w:r>
        <w:rPr>
          <w:sz w:val="18"/>
          <w:szCs w:val="18"/>
          <w:lang w:val="en-GB"/>
        </w:rPr>
        <w:t>where</w:t>
      </w:r>
      <w:r w:rsidRPr="00D259E2">
        <w:rPr>
          <w:sz w:val="18"/>
          <w:szCs w:val="18"/>
          <w:lang w:val="en-GB"/>
        </w:rPr>
        <w:t xml:space="preserve"> appropriate.</w:t>
      </w:r>
      <w:r w:rsidR="005D4A5C">
        <w:rPr>
          <w:sz w:val="18"/>
          <w:szCs w:val="18"/>
          <w:lang w:val="en-GB"/>
        </w:rPr>
        <w:t xml:space="preserve"> This may, for example, be the case if the supplier has already provided satisfactory answers during pre-qualification.  </w:t>
      </w:r>
    </w:p>
    <w:p w14:paraId="4CEA91BA" w14:textId="00DA6960" w:rsidR="00675AC6" w:rsidRPr="00675AC6" w:rsidRDefault="00675AC6" w:rsidP="00675AC6">
      <w:pPr>
        <w:spacing w:line="360" w:lineRule="auto"/>
        <w:rPr>
          <w:sz w:val="18"/>
          <w:szCs w:val="18"/>
          <w:lang w:val="en-GB"/>
        </w:rPr>
      </w:pPr>
      <w:r w:rsidRPr="00675AC6">
        <w:rPr>
          <w:sz w:val="18"/>
          <w:szCs w:val="18"/>
          <w:lang w:val="en-GB"/>
        </w:rPr>
        <w:t>Where measures to verify compliance are carried out in relation to SMEs, [Procurement Department] shall bear the cost of independent third-party verification</w:t>
      </w:r>
      <w:r w:rsidR="00F47F8B">
        <w:rPr>
          <w:sz w:val="18"/>
          <w:szCs w:val="18"/>
          <w:lang w:val="en-GB"/>
        </w:rPr>
        <w:t>s (audits)</w:t>
      </w:r>
      <w:r w:rsidRPr="00675AC6">
        <w:rPr>
          <w:sz w:val="18"/>
          <w:szCs w:val="18"/>
          <w:lang w:val="en-GB"/>
        </w:rPr>
        <w:t>. Where the SME requests to pay at least a part of this cost, or if agreed with [</w:t>
      </w:r>
      <w:r w:rsidR="00F47F8B">
        <w:rPr>
          <w:sz w:val="18"/>
          <w:szCs w:val="18"/>
          <w:lang w:val="en-GB"/>
        </w:rPr>
        <w:t>Company</w:t>
      </w:r>
      <w:r w:rsidRPr="00675AC6">
        <w:rPr>
          <w:sz w:val="18"/>
          <w:szCs w:val="18"/>
          <w:lang w:val="en-GB"/>
        </w:rPr>
        <w:t>], the SME may share the results of verification</w:t>
      </w:r>
      <w:r w:rsidR="00F47F8B">
        <w:rPr>
          <w:sz w:val="18"/>
          <w:szCs w:val="18"/>
          <w:lang w:val="en-GB"/>
        </w:rPr>
        <w:t>s (audits)</w:t>
      </w:r>
      <w:r w:rsidRPr="00675AC6">
        <w:rPr>
          <w:sz w:val="18"/>
          <w:szCs w:val="18"/>
          <w:lang w:val="en-GB"/>
        </w:rPr>
        <w:t xml:space="preserve"> with other companies.</w:t>
      </w:r>
      <w:r w:rsidR="008A1AAA">
        <w:rPr>
          <w:rStyle w:val="Fotnotsreferens"/>
          <w:sz w:val="18"/>
          <w:szCs w:val="18"/>
          <w:lang w:val="en-GB"/>
        </w:rPr>
        <w:footnoteReference w:id="25"/>
      </w:r>
    </w:p>
    <w:p w14:paraId="5DE56FD9" w14:textId="0654EEA6" w:rsidR="00675AC6" w:rsidRPr="00675AC6" w:rsidRDefault="00675AC6" w:rsidP="00675AC6">
      <w:pPr>
        <w:spacing w:line="360" w:lineRule="auto"/>
        <w:rPr>
          <w:sz w:val="18"/>
          <w:szCs w:val="18"/>
          <w:lang w:val="en-GB"/>
        </w:rPr>
      </w:pPr>
      <w:bookmarkStart w:id="16" w:name="_Hlk198042436"/>
      <w:bookmarkEnd w:id="14"/>
      <w:r w:rsidRPr="00675AC6">
        <w:rPr>
          <w:sz w:val="18"/>
          <w:szCs w:val="18"/>
          <w:lang w:val="en-GB"/>
        </w:rPr>
        <w:t>[Contract Managers] shall, in consultation with [</w:t>
      </w:r>
      <w:r w:rsidR="00D7063D">
        <w:rPr>
          <w:sz w:val="18"/>
          <w:szCs w:val="18"/>
          <w:lang w:val="en-GB"/>
        </w:rPr>
        <w:t>Sustainability Manager</w:t>
      </w:r>
      <w:r w:rsidRPr="00675AC6">
        <w:rPr>
          <w:sz w:val="18"/>
          <w:szCs w:val="18"/>
          <w:lang w:val="en-GB"/>
        </w:rPr>
        <w:t>s], provide targeted and proportionate support to SMEs in prioritised purchasing categories, including access to capacity-building, training, or upgrades of management systems.</w:t>
      </w:r>
      <w:r w:rsidR="008A1AAA">
        <w:rPr>
          <w:rStyle w:val="Fotnotsreferens"/>
          <w:sz w:val="18"/>
          <w:szCs w:val="18"/>
          <w:lang w:val="en-GB"/>
        </w:rPr>
        <w:footnoteReference w:id="26"/>
      </w:r>
      <w:r w:rsidRPr="00675AC6">
        <w:rPr>
          <w:sz w:val="18"/>
          <w:szCs w:val="18"/>
          <w:lang w:val="en-GB"/>
        </w:rPr>
        <w:t xml:space="preserve"> </w:t>
      </w:r>
      <w:r w:rsidR="00324705" w:rsidRPr="00324705">
        <w:rPr>
          <w:sz w:val="18"/>
          <w:szCs w:val="18"/>
          <w:lang w:val="en-GB"/>
        </w:rPr>
        <w:t xml:space="preserve">If Supplier is a micro enterprise, </w:t>
      </w:r>
      <w:r w:rsidR="00324705">
        <w:rPr>
          <w:sz w:val="18"/>
          <w:szCs w:val="18"/>
          <w:lang w:val="en-GB"/>
        </w:rPr>
        <w:t>[Contract Managers] shall, in consultation with [Sustainability Managers]</w:t>
      </w:r>
      <w:r w:rsidR="00324705" w:rsidRPr="00324705">
        <w:rPr>
          <w:sz w:val="18"/>
          <w:szCs w:val="18"/>
          <w:lang w:val="en-GB"/>
        </w:rPr>
        <w:t xml:space="preserve"> treat it as a rightsholder, uphold its rights as set out in the [Code of Conduct], and refrain from </w:t>
      </w:r>
      <w:r w:rsidR="00324705" w:rsidRPr="00324705">
        <w:rPr>
          <w:sz w:val="18"/>
          <w:szCs w:val="18"/>
          <w:lang w:val="en-GB"/>
        </w:rPr>
        <w:t xml:space="preserve">imposing measures that could jeopardize its viability or </w:t>
      </w:r>
      <w:r w:rsidR="00324705">
        <w:rPr>
          <w:sz w:val="18"/>
          <w:szCs w:val="18"/>
          <w:lang w:val="en-GB"/>
        </w:rPr>
        <w:t>l</w:t>
      </w:r>
      <w:r w:rsidR="00324705" w:rsidRPr="00324705">
        <w:rPr>
          <w:sz w:val="18"/>
          <w:szCs w:val="18"/>
          <w:lang w:val="en-GB"/>
        </w:rPr>
        <w:t xml:space="preserve">iving </w:t>
      </w:r>
      <w:r w:rsidR="00324705">
        <w:rPr>
          <w:sz w:val="18"/>
          <w:szCs w:val="18"/>
          <w:lang w:val="en-GB"/>
        </w:rPr>
        <w:t>i</w:t>
      </w:r>
      <w:r w:rsidR="00324705" w:rsidRPr="00324705">
        <w:rPr>
          <w:sz w:val="18"/>
          <w:szCs w:val="18"/>
          <w:lang w:val="en-GB"/>
        </w:rPr>
        <w:t>ncome.</w:t>
      </w:r>
    </w:p>
    <w:p w14:paraId="4600CB85" w14:textId="127C2067" w:rsidR="00675AC6" w:rsidRPr="00675AC6" w:rsidRDefault="00675AC6" w:rsidP="00675AC6">
      <w:pPr>
        <w:spacing w:line="360" w:lineRule="auto"/>
        <w:rPr>
          <w:sz w:val="18"/>
          <w:szCs w:val="18"/>
          <w:lang w:val="en-GB"/>
        </w:rPr>
      </w:pPr>
      <w:r w:rsidRPr="00675AC6">
        <w:rPr>
          <w:sz w:val="18"/>
          <w:szCs w:val="18"/>
          <w:lang w:val="en-GB"/>
        </w:rPr>
        <w:t>Where compliance with the requirements could jeopardise the SME’s viability, [Procurement Department] shall offer tailored financial support, such as direct financing, low-interest loans, sourcing guarantees</w:t>
      </w:r>
      <w:r w:rsidR="00F47F8B">
        <w:rPr>
          <w:sz w:val="18"/>
          <w:szCs w:val="18"/>
          <w:lang w:val="en-GB"/>
        </w:rPr>
        <w:t xml:space="preserve"> (framework agreements)</w:t>
      </w:r>
      <w:r w:rsidRPr="00675AC6">
        <w:rPr>
          <w:sz w:val="18"/>
          <w:szCs w:val="18"/>
          <w:lang w:val="en-GB"/>
        </w:rPr>
        <w:t>, or assistance in securing financing.</w:t>
      </w:r>
      <w:r w:rsidR="008A1AAA">
        <w:rPr>
          <w:rStyle w:val="Fotnotsreferens"/>
          <w:sz w:val="18"/>
          <w:szCs w:val="18"/>
          <w:lang w:val="en-GB"/>
        </w:rPr>
        <w:footnoteReference w:id="27"/>
      </w:r>
    </w:p>
    <w:p w14:paraId="278C988A" w14:textId="341A725C" w:rsidR="00675AC6" w:rsidRDefault="00675AC6" w:rsidP="00675AC6">
      <w:pPr>
        <w:spacing w:line="360" w:lineRule="auto"/>
        <w:rPr>
          <w:sz w:val="18"/>
          <w:szCs w:val="18"/>
          <w:lang w:val="en-GB"/>
        </w:rPr>
      </w:pPr>
      <w:bookmarkStart w:id="17" w:name="_Hlk198042451"/>
      <w:bookmarkEnd w:id="16"/>
      <w:r w:rsidRPr="00675AC6">
        <w:rPr>
          <w:sz w:val="18"/>
          <w:szCs w:val="18"/>
          <w:lang w:val="en-GB"/>
        </w:rPr>
        <w:t>[Contract Managers] shall, in consultation with [</w:t>
      </w:r>
      <w:r w:rsidR="00D7063D">
        <w:rPr>
          <w:sz w:val="18"/>
          <w:szCs w:val="18"/>
          <w:lang w:val="en-GB"/>
        </w:rPr>
        <w:t>Sustainability Manager</w:t>
      </w:r>
      <w:r w:rsidRPr="00675AC6">
        <w:rPr>
          <w:sz w:val="18"/>
          <w:szCs w:val="18"/>
          <w:lang w:val="en-GB"/>
        </w:rPr>
        <w:t xml:space="preserve">s], engage </w:t>
      </w:r>
      <w:r w:rsidR="006F62D7" w:rsidRPr="00675AC6">
        <w:rPr>
          <w:sz w:val="18"/>
          <w:szCs w:val="18"/>
          <w:lang w:val="en-GB"/>
        </w:rPr>
        <w:t xml:space="preserve">quarterly </w:t>
      </w:r>
      <w:r w:rsidRPr="00675AC6">
        <w:rPr>
          <w:sz w:val="18"/>
          <w:szCs w:val="18"/>
          <w:lang w:val="en-GB"/>
        </w:rPr>
        <w:t>with suppliers in prioritised purchasing categories about [Company’s] expectations</w:t>
      </w:r>
      <w:r w:rsidR="007D4FB8" w:rsidRPr="004E6311">
        <w:rPr>
          <w:sz w:val="18"/>
          <w:szCs w:val="18"/>
          <w:lang w:val="en-GB"/>
        </w:rPr>
        <w:t>—</w:t>
      </w:r>
      <w:r w:rsidR="006F62D7">
        <w:rPr>
          <w:sz w:val="18"/>
          <w:szCs w:val="18"/>
          <w:lang w:val="en-GB"/>
        </w:rPr>
        <w:t xml:space="preserve">particularly regarding the management of </w:t>
      </w:r>
      <w:r w:rsidR="007D4FB8">
        <w:rPr>
          <w:sz w:val="18"/>
          <w:szCs w:val="18"/>
          <w:lang w:val="en-GB"/>
        </w:rPr>
        <w:t>prioritised adverse impacts and the disclosure of suppliers and locations</w:t>
      </w:r>
      <w:r w:rsidRPr="00675AC6">
        <w:rPr>
          <w:sz w:val="18"/>
          <w:szCs w:val="18"/>
          <w:lang w:val="en-GB"/>
        </w:rPr>
        <w:t>. The engagements shall include [Company]'s provision of, or facilitation of access to, capacity-building, guidance, and administrative or financial support—such as loans or other forms of financing—</w:t>
      </w:r>
      <w:r w:rsidR="007D4FB8">
        <w:rPr>
          <w:sz w:val="18"/>
          <w:szCs w:val="18"/>
          <w:lang w:val="en-GB"/>
        </w:rPr>
        <w:t xml:space="preserve">depending on </w:t>
      </w:r>
      <w:r w:rsidRPr="00675AC6">
        <w:rPr>
          <w:sz w:val="18"/>
          <w:szCs w:val="18"/>
          <w:lang w:val="en-GB"/>
        </w:rPr>
        <w:t>supplier's resources, knowledge, and constraints.</w:t>
      </w:r>
      <w:r w:rsidR="008A1AAA">
        <w:rPr>
          <w:rStyle w:val="Fotnotsreferens"/>
          <w:sz w:val="18"/>
          <w:szCs w:val="18"/>
          <w:lang w:val="en-GB"/>
        </w:rPr>
        <w:footnoteReference w:id="28"/>
      </w:r>
      <w:r w:rsidRPr="00675AC6">
        <w:rPr>
          <w:sz w:val="18"/>
          <w:szCs w:val="18"/>
          <w:lang w:val="en-GB"/>
        </w:rPr>
        <w:t xml:space="preserve"> </w:t>
      </w:r>
    </w:p>
    <w:p w14:paraId="7A7AC855" w14:textId="6608C7D2" w:rsidR="00675AC6" w:rsidRDefault="00675AC6" w:rsidP="00675AC6">
      <w:pPr>
        <w:spacing w:line="360" w:lineRule="auto"/>
        <w:rPr>
          <w:sz w:val="18"/>
          <w:szCs w:val="18"/>
          <w:lang w:val="en-GB"/>
        </w:rPr>
      </w:pPr>
      <w:bookmarkStart w:id="18" w:name="_Hlk198042468"/>
      <w:bookmarkEnd w:id="17"/>
      <w:r w:rsidRPr="00675AC6">
        <w:rPr>
          <w:sz w:val="18"/>
          <w:szCs w:val="18"/>
          <w:lang w:val="en-GB"/>
        </w:rPr>
        <w:t>[</w:t>
      </w:r>
      <w:r w:rsidR="00D7063D">
        <w:rPr>
          <w:sz w:val="18"/>
          <w:szCs w:val="18"/>
          <w:lang w:val="en-GB"/>
        </w:rPr>
        <w:t>Sustainability Manager</w:t>
      </w:r>
      <w:r w:rsidRPr="00675AC6">
        <w:rPr>
          <w:sz w:val="18"/>
          <w:szCs w:val="18"/>
          <w:lang w:val="en-GB"/>
        </w:rPr>
        <w:t xml:space="preserve">s] shall, in consultation with [Category Managers, Procurement Managers and Contract Managers], collaborate with other buyers of the same </w:t>
      </w:r>
      <w:r w:rsidR="001C0A9B">
        <w:rPr>
          <w:sz w:val="18"/>
          <w:szCs w:val="18"/>
          <w:lang w:val="en-GB"/>
        </w:rPr>
        <w:t xml:space="preserve">goods/services </w:t>
      </w:r>
      <w:r w:rsidRPr="00675AC6">
        <w:rPr>
          <w:sz w:val="18"/>
          <w:szCs w:val="18"/>
          <w:lang w:val="en-GB"/>
        </w:rPr>
        <w:t>or with industry initiatives, where relevant, to increase [Company’s] leverage and the effectiveness of preventive and mitigating measures.</w:t>
      </w:r>
    </w:p>
    <w:bookmarkEnd w:id="18"/>
    <w:p w14:paraId="763A3E5F" w14:textId="16BD5A8C" w:rsidR="00A904BF" w:rsidRPr="00B231F5" w:rsidRDefault="00A904BF" w:rsidP="00675AC6">
      <w:pPr>
        <w:spacing w:line="360" w:lineRule="auto"/>
        <w:rPr>
          <w:i/>
          <w:iCs/>
          <w:sz w:val="18"/>
          <w:szCs w:val="18"/>
          <w:lang w:val="en-GB"/>
        </w:rPr>
      </w:pPr>
      <w:r w:rsidRPr="00B231F5">
        <w:rPr>
          <w:i/>
          <w:iCs/>
          <w:sz w:val="18"/>
          <w:szCs w:val="18"/>
          <w:lang w:val="en-GB"/>
        </w:rPr>
        <w:t xml:space="preserve">3.2.4 Severe </w:t>
      </w:r>
      <w:r>
        <w:rPr>
          <w:i/>
          <w:iCs/>
          <w:sz w:val="18"/>
          <w:szCs w:val="18"/>
          <w:lang w:val="en-GB"/>
        </w:rPr>
        <w:t>a</w:t>
      </w:r>
      <w:r w:rsidRPr="00B231F5">
        <w:rPr>
          <w:i/>
          <w:iCs/>
          <w:sz w:val="18"/>
          <w:szCs w:val="18"/>
          <w:lang w:val="en-GB"/>
        </w:rPr>
        <w:t xml:space="preserve">dverse </w:t>
      </w:r>
      <w:r>
        <w:rPr>
          <w:i/>
          <w:iCs/>
          <w:sz w:val="18"/>
          <w:szCs w:val="18"/>
          <w:lang w:val="en-GB"/>
        </w:rPr>
        <w:t>i</w:t>
      </w:r>
      <w:r w:rsidRPr="00B231F5">
        <w:rPr>
          <w:i/>
          <w:iCs/>
          <w:sz w:val="18"/>
          <w:szCs w:val="18"/>
          <w:lang w:val="en-GB"/>
        </w:rPr>
        <w:t>mpact</w:t>
      </w:r>
    </w:p>
    <w:p w14:paraId="5E8B040C" w14:textId="0B4164DB" w:rsidR="006060FB" w:rsidRDefault="00A904BF" w:rsidP="00675AC6">
      <w:pPr>
        <w:spacing w:line="360" w:lineRule="auto"/>
        <w:rPr>
          <w:sz w:val="18"/>
          <w:szCs w:val="18"/>
          <w:lang w:val="en-GB"/>
        </w:rPr>
      </w:pPr>
      <w:bookmarkStart w:id="19" w:name="_Hlk198042492"/>
      <w:r w:rsidRPr="00B231F5">
        <w:rPr>
          <w:sz w:val="18"/>
          <w:szCs w:val="18"/>
          <w:lang w:val="en-GB"/>
        </w:rPr>
        <w:lastRenderedPageBreak/>
        <w:t xml:space="preserve">If there is reasonable </w:t>
      </w:r>
      <w:r>
        <w:rPr>
          <w:sz w:val="18"/>
          <w:szCs w:val="18"/>
          <w:lang w:val="en-GB"/>
        </w:rPr>
        <w:t>ground</w:t>
      </w:r>
      <w:r w:rsidRPr="00B231F5">
        <w:rPr>
          <w:sz w:val="18"/>
          <w:szCs w:val="18"/>
          <w:lang w:val="en-GB"/>
        </w:rPr>
        <w:t xml:space="preserve"> to believe that a severe adverse impact is occurring or has occurred somewhere in the supply chain, [Contract </w:t>
      </w:r>
      <w:proofErr w:type="gramStart"/>
      <w:r w:rsidRPr="00B231F5">
        <w:rPr>
          <w:sz w:val="18"/>
          <w:szCs w:val="18"/>
          <w:lang w:val="en-GB"/>
        </w:rPr>
        <w:t>Manager</w:t>
      </w:r>
      <w:r>
        <w:rPr>
          <w:sz w:val="18"/>
          <w:szCs w:val="18"/>
          <w:lang w:val="en-GB"/>
        </w:rPr>
        <w:t>s</w:t>
      </w:r>
      <w:r w:rsidRPr="00B231F5">
        <w:rPr>
          <w:sz w:val="18"/>
          <w:szCs w:val="18"/>
          <w:lang w:val="en-GB"/>
        </w:rPr>
        <w:t>]</w:t>
      </w:r>
      <w:r w:rsidR="00C2718F">
        <w:rPr>
          <w:sz w:val="18"/>
          <w:szCs w:val="18"/>
          <w:lang w:val="en-GB"/>
        </w:rPr>
        <w:t>s</w:t>
      </w:r>
      <w:proofErr w:type="gramEnd"/>
      <w:r w:rsidRPr="00B231F5">
        <w:rPr>
          <w:sz w:val="18"/>
          <w:szCs w:val="18"/>
          <w:lang w:val="en-GB"/>
        </w:rPr>
        <w:t>, in consultation with [Sustainability Manager</w:t>
      </w:r>
      <w:r>
        <w:rPr>
          <w:sz w:val="18"/>
          <w:szCs w:val="18"/>
          <w:lang w:val="en-GB"/>
        </w:rPr>
        <w:t>s</w:t>
      </w:r>
      <w:r w:rsidRPr="00B231F5">
        <w:rPr>
          <w:sz w:val="18"/>
          <w:szCs w:val="18"/>
          <w:lang w:val="en-GB"/>
        </w:rPr>
        <w:t>],  without delay report this to the [incident/</w:t>
      </w:r>
      <w:r w:rsidR="00371F8F">
        <w:rPr>
          <w:sz w:val="18"/>
          <w:szCs w:val="18"/>
          <w:lang w:val="en-GB"/>
        </w:rPr>
        <w:t xml:space="preserve"> </w:t>
      </w:r>
      <w:r>
        <w:rPr>
          <w:sz w:val="18"/>
          <w:szCs w:val="18"/>
          <w:lang w:val="en-GB"/>
        </w:rPr>
        <w:t>deviation</w:t>
      </w:r>
      <w:r w:rsidRPr="00B231F5">
        <w:rPr>
          <w:sz w:val="18"/>
          <w:szCs w:val="18"/>
          <w:lang w:val="en-GB"/>
        </w:rPr>
        <w:t xml:space="preserve"> management system].</w:t>
      </w:r>
    </w:p>
    <w:p w14:paraId="2E4BBB5D" w14:textId="40E64FAA" w:rsidR="00A904BF" w:rsidRPr="00A904BF" w:rsidRDefault="00A904BF" w:rsidP="00675AC6">
      <w:pPr>
        <w:spacing w:line="360" w:lineRule="auto"/>
        <w:rPr>
          <w:sz w:val="18"/>
          <w:szCs w:val="18"/>
          <w:lang w:val="en-GB"/>
        </w:rPr>
      </w:pPr>
      <w:r w:rsidRPr="00B231F5">
        <w:rPr>
          <w:sz w:val="18"/>
          <w:szCs w:val="18"/>
          <w:lang w:val="en-GB"/>
        </w:rPr>
        <w:t>The severe adverse impact shall be addressed in accordance with sections 3.1.1–3.1.5.</w:t>
      </w:r>
    </w:p>
    <w:bookmarkEnd w:id="19"/>
    <w:p w14:paraId="466A7F97" w14:textId="4381ED27" w:rsidR="001E32A6" w:rsidRPr="00495F9F" w:rsidRDefault="0010668F" w:rsidP="00F40039">
      <w:pPr>
        <w:spacing w:line="360" w:lineRule="auto"/>
        <w:rPr>
          <w:b/>
          <w:bCs/>
          <w:sz w:val="22"/>
          <w:lang w:val="en-GB"/>
        </w:rPr>
      </w:pPr>
      <w:r w:rsidRPr="00495F9F">
        <w:rPr>
          <w:b/>
          <w:bCs/>
          <w:sz w:val="22"/>
          <w:lang w:val="en-GB"/>
        </w:rPr>
        <w:t>4</w:t>
      </w:r>
      <w:r w:rsidR="004329B5" w:rsidRPr="00495F9F">
        <w:rPr>
          <w:b/>
          <w:bCs/>
          <w:sz w:val="22"/>
          <w:lang w:val="en-GB"/>
        </w:rPr>
        <w:t xml:space="preserve">. </w:t>
      </w:r>
      <w:r w:rsidR="00DD6602" w:rsidRPr="00495F9F">
        <w:rPr>
          <w:b/>
          <w:bCs/>
          <w:sz w:val="22"/>
          <w:lang w:val="en-GB"/>
        </w:rPr>
        <w:t>Complaints and remediation</w:t>
      </w:r>
    </w:p>
    <w:p w14:paraId="76C71EF9" w14:textId="3AE33DCE" w:rsidR="00675AC6" w:rsidRPr="00675AC6" w:rsidRDefault="00675AC6" w:rsidP="00675AC6">
      <w:pPr>
        <w:spacing w:line="360" w:lineRule="auto"/>
        <w:rPr>
          <w:sz w:val="18"/>
          <w:szCs w:val="18"/>
          <w:lang w:val="en-GB"/>
        </w:rPr>
      </w:pPr>
      <w:r w:rsidRPr="00675AC6">
        <w:rPr>
          <w:sz w:val="18"/>
          <w:szCs w:val="18"/>
          <w:lang w:val="en-GB"/>
        </w:rPr>
        <w:t xml:space="preserve">[Procurement Managers] shall enable complaints </w:t>
      </w:r>
      <w:r w:rsidR="00C71607">
        <w:rPr>
          <w:sz w:val="18"/>
          <w:szCs w:val="18"/>
          <w:lang w:val="en-GB"/>
        </w:rPr>
        <w:t xml:space="preserve">in the supply chain </w:t>
      </w:r>
      <w:r w:rsidRPr="00675AC6">
        <w:rPr>
          <w:sz w:val="18"/>
          <w:szCs w:val="18"/>
          <w:lang w:val="en-GB"/>
        </w:rPr>
        <w:t xml:space="preserve">by making </w:t>
      </w:r>
      <w:r w:rsidR="00635671">
        <w:rPr>
          <w:sz w:val="18"/>
          <w:szCs w:val="18"/>
          <w:lang w:val="en-GB"/>
        </w:rPr>
        <w:t>[Company]’s</w:t>
      </w:r>
      <w:r w:rsidRPr="00675AC6">
        <w:rPr>
          <w:sz w:val="18"/>
          <w:szCs w:val="18"/>
          <w:lang w:val="en-GB"/>
        </w:rPr>
        <w:t xml:space="preserve"> notification mechanism available through contract clauses on </w:t>
      </w:r>
      <w:bookmarkStart w:id="20" w:name="_Hlk195106742"/>
      <w:r w:rsidRPr="00675AC6">
        <w:rPr>
          <w:sz w:val="18"/>
          <w:szCs w:val="18"/>
          <w:lang w:val="en-GB"/>
        </w:rPr>
        <w:t>[Human Rights and Environmental Due Diligence Monitoring Committees]</w:t>
      </w:r>
      <w:bookmarkEnd w:id="20"/>
      <w:r w:rsidRPr="00675AC6">
        <w:rPr>
          <w:sz w:val="18"/>
          <w:szCs w:val="18"/>
          <w:lang w:val="en-GB"/>
        </w:rPr>
        <w:t>.</w:t>
      </w:r>
      <w:r w:rsidR="008A1AAA">
        <w:rPr>
          <w:rStyle w:val="Fotnotsreferens"/>
          <w:sz w:val="18"/>
          <w:szCs w:val="18"/>
          <w:lang w:val="en-GB"/>
        </w:rPr>
        <w:footnoteReference w:id="29"/>
      </w:r>
      <w:r w:rsidRPr="00675AC6">
        <w:rPr>
          <w:sz w:val="18"/>
          <w:szCs w:val="18"/>
          <w:lang w:val="en-GB"/>
        </w:rPr>
        <w:t xml:space="preserve"> </w:t>
      </w:r>
    </w:p>
    <w:p w14:paraId="780E1F7C" w14:textId="1F54CA98" w:rsidR="00DD6602" w:rsidRPr="00675AC6" w:rsidRDefault="00675AC6" w:rsidP="00675AC6">
      <w:pPr>
        <w:spacing w:line="360" w:lineRule="auto"/>
        <w:rPr>
          <w:sz w:val="18"/>
          <w:szCs w:val="18"/>
          <w:lang w:val="en-GB"/>
        </w:rPr>
      </w:pPr>
      <w:r w:rsidRPr="00675AC6">
        <w:rPr>
          <w:sz w:val="18"/>
          <w:szCs w:val="18"/>
          <w:lang w:val="en-GB"/>
        </w:rPr>
        <w:t>[Contract Managers] shall, in consultation with [</w:t>
      </w:r>
      <w:r w:rsidR="00D7063D">
        <w:rPr>
          <w:sz w:val="18"/>
          <w:szCs w:val="18"/>
          <w:lang w:val="en-GB"/>
        </w:rPr>
        <w:t>Sustainability Manager</w:t>
      </w:r>
      <w:r w:rsidRPr="00675AC6">
        <w:rPr>
          <w:sz w:val="18"/>
          <w:szCs w:val="18"/>
          <w:lang w:val="en-GB"/>
        </w:rPr>
        <w:t>s], address submitted complaints and provide for or cooperate in remediation in accordance with [</w:t>
      </w:r>
      <w:r w:rsidR="00635671">
        <w:rPr>
          <w:sz w:val="18"/>
          <w:szCs w:val="18"/>
          <w:lang w:val="en-GB"/>
        </w:rPr>
        <w:t>instruction on</w:t>
      </w:r>
      <w:r w:rsidRPr="00675AC6">
        <w:rPr>
          <w:sz w:val="18"/>
          <w:szCs w:val="18"/>
          <w:lang w:val="en-GB"/>
        </w:rPr>
        <w:t xml:space="preserve"> Complaints Procedure].</w:t>
      </w:r>
      <w:r w:rsidR="008A1AAA">
        <w:rPr>
          <w:rStyle w:val="Fotnotsreferens"/>
          <w:sz w:val="18"/>
          <w:szCs w:val="18"/>
          <w:lang w:val="en-GB"/>
        </w:rPr>
        <w:footnoteReference w:id="30"/>
      </w:r>
      <w:r w:rsidRPr="00675AC6">
        <w:rPr>
          <w:sz w:val="18"/>
          <w:szCs w:val="18"/>
          <w:lang w:val="en-GB"/>
        </w:rPr>
        <w:t xml:space="preserve"> </w:t>
      </w:r>
    </w:p>
    <w:p w14:paraId="21ABD5BA" w14:textId="4B993F86" w:rsidR="001E32A6" w:rsidRPr="00495F9F" w:rsidRDefault="0010668F" w:rsidP="001E32A6">
      <w:pPr>
        <w:spacing w:line="360" w:lineRule="auto"/>
        <w:rPr>
          <w:b/>
          <w:bCs/>
          <w:sz w:val="22"/>
          <w:lang w:val="en-GB"/>
        </w:rPr>
      </w:pPr>
      <w:r w:rsidRPr="00495F9F">
        <w:rPr>
          <w:b/>
          <w:bCs/>
          <w:sz w:val="22"/>
          <w:lang w:val="en-GB"/>
        </w:rPr>
        <w:t>5</w:t>
      </w:r>
      <w:r w:rsidR="00A845F4" w:rsidRPr="00495F9F">
        <w:rPr>
          <w:b/>
          <w:bCs/>
          <w:sz w:val="22"/>
          <w:lang w:val="en-GB"/>
        </w:rPr>
        <w:t xml:space="preserve">. </w:t>
      </w:r>
      <w:r w:rsidR="00DD6602" w:rsidRPr="00495F9F">
        <w:rPr>
          <w:b/>
          <w:bCs/>
          <w:sz w:val="22"/>
          <w:lang w:val="en-GB"/>
        </w:rPr>
        <w:t>Monitoring</w:t>
      </w:r>
    </w:p>
    <w:p w14:paraId="62827B2D" w14:textId="7E002F34" w:rsidR="00675AC6" w:rsidRPr="00675AC6" w:rsidRDefault="00675AC6" w:rsidP="00675AC6">
      <w:pPr>
        <w:spacing w:line="360" w:lineRule="auto"/>
        <w:rPr>
          <w:sz w:val="18"/>
          <w:szCs w:val="18"/>
          <w:lang w:val="en-GB"/>
        </w:rPr>
      </w:pPr>
      <w:bookmarkStart w:id="21" w:name="_Hlk192424317"/>
      <w:r w:rsidRPr="00675AC6">
        <w:rPr>
          <w:sz w:val="18"/>
          <w:szCs w:val="18"/>
          <w:lang w:val="en-GB"/>
        </w:rPr>
        <w:t xml:space="preserve">[Chief Procurement Officer] shall, in consultation with [Category Managers, </w:t>
      </w:r>
      <w:r w:rsidRPr="00675AC6">
        <w:rPr>
          <w:sz w:val="18"/>
          <w:szCs w:val="18"/>
          <w:lang w:val="en-GB"/>
        </w:rPr>
        <w:t>Procurement Managers</w:t>
      </w:r>
      <w:r w:rsidR="00552A59">
        <w:rPr>
          <w:sz w:val="18"/>
          <w:szCs w:val="18"/>
          <w:lang w:val="en-GB"/>
        </w:rPr>
        <w:t>, Contract Managers</w:t>
      </w:r>
      <w:r w:rsidRPr="00675AC6">
        <w:rPr>
          <w:sz w:val="18"/>
          <w:szCs w:val="18"/>
          <w:lang w:val="en-GB"/>
        </w:rPr>
        <w:t xml:space="preserve"> and </w:t>
      </w:r>
      <w:r w:rsidR="00D7063D">
        <w:rPr>
          <w:sz w:val="18"/>
          <w:szCs w:val="18"/>
          <w:lang w:val="en-GB"/>
        </w:rPr>
        <w:t>Sustainability Manager</w:t>
      </w:r>
      <w:r w:rsidRPr="00675AC6">
        <w:rPr>
          <w:sz w:val="18"/>
          <w:szCs w:val="18"/>
          <w:lang w:val="en-GB"/>
        </w:rPr>
        <w:t xml:space="preserve">s] regularly assess and monitor the adequacy and effectiveness of the due diligence measures. </w:t>
      </w:r>
    </w:p>
    <w:p w14:paraId="42BC6AED" w14:textId="77777777" w:rsidR="00675AC6" w:rsidRPr="00675AC6" w:rsidRDefault="00675AC6" w:rsidP="00675AC6">
      <w:pPr>
        <w:spacing w:line="360" w:lineRule="auto"/>
        <w:rPr>
          <w:sz w:val="18"/>
          <w:szCs w:val="18"/>
          <w:lang w:val="en-GB"/>
        </w:rPr>
      </w:pPr>
      <w:r w:rsidRPr="00675AC6">
        <w:rPr>
          <w:sz w:val="18"/>
          <w:szCs w:val="18"/>
          <w:lang w:val="en-GB"/>
        </w:rPr>
        <w:t>These assessments shall:</w:t>
      </w:r>
    </w:p>
    <w:p w14:paraId="515EF06C" w14:textId="5440AD6B"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Be carried out at least [</w:t>
      </w:r>
      <w:r w:rsidR="00E846B3">
        <w:rPr>
          <w:sz w:val="18"/>
          <w:szCs w:val="18"/>
          <w:lang w:val="en-GB"/>
        </w:rPr>
        <w:t>annually</w:t>
      </w:r>
      <w:r w:rsidRPr="00675AC6">
        <w:rPr>
          <w:sz w:val="18"/>
          <w:szCs w:val="18"/>
          <w:lang w:val="en-GB"/>
        </w:rPr>
        <w:t>/every three years], and without undue delay after significant changes occur or when new risks are identified.</w:t>
      </w:r>
    </w:p>
    <w:p w14:paraId="423A2F68" w14:textId="2D5C2782"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Be based on qualitative and quantitative indicators, where appropriate.</w:t>
      </w:r>
    </w:p>
    <w:p w14:paraId="4D399042" w14:textId="69BD5AA0"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 xml:space="preserve">Result in updates to policies, </w:t>
      </w:r>
      <w:r w:rsidR="00224B58">
        <w:rPr>
          <w:sz w:val="18"/>
          <w:szCs w:val="18"/>
          <w:lang w:val="en-GB"/>
        </w:rPr>
        <w:t xml:space="preserve">this instruction, </w:t>
      </w:r>
      <w:r w:rsidRPr="00675AC6">
        <w:rPr>
          <w:sz w:val="18"/>
          <w:szCs w:val="18"/>
          <w:lang w:val="en-GB"/>
        </w:rPr>
        <w:t>risk assessments, and action plans, where needed.</w:t>
      </w:r>
    </w:p>
    <w:p w14:paraId="346007E6" w14:textId="2B72F076"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 xml:space="preserve">Consider relevant input from affected stakeholders, including on indicators, or, if direct </w:t>
      </w:r>
      <w:r w:rsidR="00552A59">
        <w:rPr>
          <w:sz w:val="18"/>
          <w:szCs w:val="18"/>
          <w:lang w:val="en-GB"/>
        </w:rPr>
        <w:t>consultation</w:t>
      </w:r>
      <w:r w:rsidRPr="00675AC6">
        <w:rPr>
          <w:sz w:val="18"/>
          <w:szCs w:val="18"/>
          <w:lang w:val="en-GB"/>
        </w:rPr>
        <w:t xml:space="preserve"> is not feasible, experts who can provide credible insights.</w:t>
      </w:r>
      <w:r w:rsidR="002A7075" w:rsidRPr="002A7075">
        <w:rPr>
          <w:rStyle w:val="Fotnotsreferens"/>
          <w:sz w:val="18"/>
          <w:szCs w:val="18"/>
          <w:lang w:val="en-GB"/>
        </w:rPr>
        <w:t xml:space="preserve"> </w:t>
      </w:r>
      <w:r w:rsidR="002A7075">
        <w:rPr>
          <w:rStyle w:val="Fotnotsreferens"/>
          <w:sz w:val="18"/>
          <w:szCs w:val="18"/>
          <w:lang w:val="en-GB"/>
        </w:rPr>
        <w:footnoteReference w:id="31"/>
      </w:r>
    </w:p>
    <w:p w14:paraId="631BC6D0" w14:textId="77777777" w:rsidR="00675AC6" w:rsidRPr="00675AC6" w:rsidRDefault="00675AC6" w:rsidP="00675AC6">
      <w:pPr>
        <w:spacing w:line="360" w:lineRule="auto"/>
        <w:rPr>
          <w:sz w:val="18"/>
          <w:szCs w:val="18"/>
          <w:lang w:val="en-GB"/>
        </w:rPr>
      </w:pPr>
      <w:r w:rsidRPr="00675AC6">
        <w:rPr>
          <w:sz w:val="18"/>
          <w:szCs w:val="18"/>
          <w:lang w:val="en-GB"/>
        </w:rPr>
        <w:t xml:space="preserve">Specifically: </w:t>
      </w:r>
    </w:p>
    <w:p w14:paraId="3BA7059C" w14:textId="18BFB67E"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[Chief Procurement Officer] shall own the overall monitoring framework — setting expectations, ensuring resources, and reporting to senior management.</w:t>
      </w:r>
    </w:p>
    <w:p w14:paraId="118F08AB" w14:textId="1F9FABB3" w:rsidR="00675AC6" w:rsidRPr="00675AC6" w:rsidRDefault="00675AC6" w:rsidP="00675AC6">
      <w:pPr>
        <w:pStyle w:val="Liststycke"/>
        <w:numPr>
          <w:ilvl w:val="0"/>
          <w:numId w:val="15"/>
        </w:numPr>
        <w:spacing w:line="360" w:lineRule="auto"/>
        <w:rPr>
          <w:sz w:val="18"/>
          <w:szCs w:val="18"/>
          <w:lang w:val="en-GB"/>
        </w:rPr>
      </w:pPr>
      <w:r>
        <w:rPr>
          <w:sz w:val="18"/>
          <w:szCs w:val="18"/>
          <w:lang w:val="en-GB"/>
        </w:rPr>
        <w:lastRenderedPageBreak/>
        <w:t>[</w:t>
      </w:r>
      <w:r w:rsidR="00D7063D">
        <w:rPr>
          <w:sz w:val="18"/>
          <w:szCs w:val="18"/>
          <w:lang w:val="en-GB"/>
        </w:rPr>
        <w:t>Sustainability Manager</w:t>
      </w:r>
      <w:r w:rsidRPr="00675AC6">
        <w:rPr>
          <w:sz w:val="18"/>
          <w:szCs w:val="18"/>
          <w:lang w:val="en-GB"/>
        </w:rPr>
        <w:t>s] shall lead the design and execution of the assessments, including stakeholder engagements, development of indicators, coordination of data collection, and analysis. [</w:t>
      </w:r>
      <w:r w:rsidR="00D7063D">
        <w:rPr>
          <w:sz w:val="18"/>
          <w:szCs w:val="18"/>
          <w:lang w:val="en-GB"/>
        </w:rPr>
        <w:t>Sustainability Manager</w:t>
      </w:r>
      <w:r w:rsidRPr="00675AC6">
        <w:rPr>
          <w:sz w:val="18"/>
          <w:szCs w:val="18"/>
          <w:lang w:val="en-GB"/>
        </w:rPr>
        <w:t xml:space="preserve">s] shall also collect and validate the data they are responsible for (supply chain mappings, risk assessments, screenings, multi-stakeholder initiatives). </w:t>
      </w:r>
    </w:p>
    <w:p w14:paraId="374C372D" w14:textId="244E1BA9" w:rsidR="00675AC6" w:rsidRPr="00675AC6" w:rsidRDefault="00675AC6" w:rsidP="00675AC6">
      <w:pPr>
        <w:pStyle w:val="Liststycke"/>
        <w:numPr>
          <w:ilvl w:val="0"/>
          <w:numId w:val="15"/>
        </w:numPr>
        <w:spacing w:line="360" w:lineRule="auto"/>
        <w:rPr>
          <w:sz w:val="18"/>
          <w:szCs w:val="18"/>
          <w:lang w:val="en-GB"/>
        </w:rPr>
      </w:pPr>
      <w:r w:rsidRPr="00675AC6">
        <w:rPr>
          <w:sz w:val="18"/>
          <w:szCs w:val="18"/>
          <w:lang w:val="en-GB"/>
        </w:rPr>
        <w:t xml:space="preserve">[Category Managers] shall review the implementation of category action plans, </w:t>
      </w:r>
      <w:r w:rsidR="00C71607">
        <w:rPr>
          <w:sz w:val="18"/>
          <w:szCs w:val="18"/>
          <w:lang w:val="en-GB"/>
        </w:rPr>
        <w:t xml:space="preserve">collect and validate the </w:t>
      </w:r>
      <w:r w:rsidRPr="00675AC6">
        <w:rPr>
          <w:sz w:val="18"/>
          <w:szCs w:val="18"/>
          <w:lang w:val="en-GB"/>
        </w:rPr>
        <w:t xml:space="preserve">data on </w:t>
      </w:r>
      <w:r w:rsidR="0034629E">
        <w:rPr>
          <w:sz w:val="18"/>
          <w:szCs w:val="18"/>
          <w:lang w:val="en-GB"/>
        </w:rPr>
        <w:t>due diligence</w:t>
      </w:r>
      <w:r w:rsidRPr="00675AC6">
        <w:rPr>
          <w:sz w:val="18"/>
          <w:szCs w:val="18"/>
          <w:lang w:val="en-GB"/>
        </w:rPr>
        <w:t xml:space="preserve"> training, including responsible purchasing practices, and integrate findings </w:t>
      </w:r>
      <w:r w:rsidRPr="00675AC6">
        <w:rPr>
          <w:sz w:val="18"/>
          <w:szCs w:val="18"/>
          <w:lang w:val="en-GB"/>
        </w:rPr>
        <w:t xml:space="preserve">into sourcing strategies and contract management strategies. </w:t>
      </w:r>
    </w:p>
    <w:p w14:paraId="01ED95E3" w14:textId="5C314989" w:rsidR="00675AC6" w:rsidRPr="00675AC6" w:rsidRDefault="00675AC6" w:rsidP="00675AC6">
      <w:pPr>
        <w:pStyle w:val="Liststycke"/>
        <w:numPr>
          <w:ilvl w:val="0"/>
          <w:numId w:val="15"/>
        </w:numPr>
        <w:spacing w:line="360" w:lineRule="auto"/>
        <w:rPr>
          <w:sz w:val="18"/>
          <w:szCs w:val="18"/>
          <w:lang w:val="en-GB"/>
        </w:rPr>
      </w:pPr>
      <w:r>
        <w:rPr>
          <w:sz w:val="18"/>
          <w:szCs w:val="18"/>
          <w:lang w:val="en-GB"/>
        </w:rPr>
        <w:t>[</w:t>
      </w:r>
      <w:r w:rsidRPr="00675AC6">
        <w:rPr>
          <w:sz w:val="18"/>
          <w:szCs w:val="18"/>
          <w:lang w:val="en-GB"/>
        </w:rPr>
        <w:t xml:space="preserve">Procurement Managers] shall </w:t>
      </w:r>
      <w:r w:rsidR="00C71607" w:rsidRPr="00675AC6">
        <w:rPr>
          <w:sz w:val="18"/>
          <w:szCs w:val="18"/>
          <w:lang w:val="en-GB"/>
        </w:rPr>
        <w:t xml:space="preserve">review the implementation of </w:t>
      </w:r>
      <w:r w:rsidR="00C71607">
        <w:rPr>
          <w:sz w:val="18"/>
          <w:szCs w:val="18"/>
          <w:lang w:val="en-GB"/>
        </w:rPr>
        <w:t>enhanced</w:t>
      </w:r>
      <w:r w:rsidR="00C71607" w:rsidRPr="00675AC6">
        <w:rPr>
          <w:sz w:val="18"/>
          <w:szCs w:val="18"/>
          <w:lang w:val="en-GB"/>
        </w:rPr>
        <w:t xml:space="preserve"> action plans</w:t>
      </w:r>
      <w:r w:rsidR="00C71607">
        <w:rPr>
          <w:sz w:val="18"/>
          <w:szCs w:val="18"/>
          <w:lang w:val="en-GB"/>
        </w:rPr>
        <w:t xml:space="preserve">, </w:t>
      </w:r>
      <w:r w:rsidRPr="00675AC6">
        <w:rPr>
          <w:sz w:val="18"/>
          <w:szCs w:val="18"/>
          <w:lang w:val="en-GB"/>
        </w:rPr>
        <w:t>collect and validate the data they are responsible for (pre-contract audits, pre-qualification</w:t>
      </w:r>
      <w:r w:rsidR="00AB6D90">
        <w:rPr>
          <w:sz w:val="18"/>
          <w:szCs w:val="18"/>
          <w:lang w:val="en-GB"/>
        </w:rPr>
        <w:t>s</w:t>
      </w:r>
      <w:r w:rsidRPr="00675AC6">
        <w:rPr>
          <w:sz w:val="18"/>
          <w:szCs w:val="18"/>
          <w:lang w:val="en-GB"/>
        </w:rPr>
        <w:t>, award criteria, contractual assurances) and integrate findings into sourcing strategies.</w:t>
      </w:r>
    </w:p>
    <w:p w14:paraId="7FBE714A" w14:textId="4F005E5F" w:rsidR="002D7090" w:rsidRPr="00675AC6" w:rsidRDefault="00C71607" w:rsidP="004473D8">
      <w:pPr>
        <w:pStyle w:val="Liststycke"/>
        <w:numPr>
          <w:ilvl w:val="0"/>
          <w:numId w:val="15"/>
        </w:numPr>
        <w:spacing w:line="360" w:lineRule="auto"/>
        <w:rPr>
          <w:sz w:val="18"/>
          <w:szCs w:val="18"/>
          <w:lang w:val="en-GB"/>
        </w:rPr>
        <w:sectPr w:rsidR="002D7090" w:rsidRPr="00675AC6" w:rsidSect="002D7090">
          <w:type w:val="continuous"/>
          <w:pgSz w:w="11906" w:h="16838"/>
          <w:pgMar w:top="2676" w:right="2268" w:bottom="2098" w:left="1985" w:header="993" w:footer="680" w:gutter="0"/>
          <w:cols w:num="2" w:sep="1" w:space="709"/>
          <w:docGrid w:linePitch="360"/>
        </w:sectPr>
      </w:pPr>
      <w:r>
        <w:rPr>
          <w:sz w:val="18"/>
          <w:szCs w:val="18"/>
          <w:lang w:val="en-GB"/>
        </w:rPr>
        <w:t xml:space="preserve">[Contract </w:t>
      </w:r>
      <w:r w:rsidRPr="00675AC6">
        <w:rPr>
          <w:sz w:val="18"/>
          <w:szCs w:val="18"/>
          <w:lang w:val="en-GB"/>
        </w:rPr>
        <w:t xml:space="preserve">Managers] shall review the implementation of </w:t>
      </w:r>
      <w:r>
        <w:rPr>
          <w:sz w:val="18"/>
          <w:szCs w:val="18"/>
          <w:lang w:val="en-GB"/>
        </w:rPr>
        <w:t>enhanced</w:t>
      </w:r>
      <w:r w:rsidRPr="00675AC6">
        <w:rPr>
          <w:sz w:val="18"/>
          <w:szCs w:val="18"/>
          <w:lang w:val="en-GB"/>
        </w:rPr>
        <w:t xml:space="preserve"> action plans</w:t>
      </w:r>
      <w:r>
        <w:rPr>
          <w:sz w:val="18"/>
          <w:szCs w:val="18"/>
          <w:lang w:val="en-GB"/>
        </w:rPr>
        <w:t xml:space="preserve">, </w:t>
      </w:r>
      <w:r w:rsidR="00675AC6" w:rsidRPr="00675AC6">
        <w:rPr>
          <w:sz w:val="18"/>
          <w:szCs w:val="18"/>
          <w:lang w:val="en-GB"/>
        </w:rPr>
        <w:t xml:space="preserve">collect and validate the data they are responsible for (audits during contract, supplier support, supplier engagements, complaints) and integrate findings into contract management strategies. </w:t>
      </w:r>
      <w:bookmarkEnd w:id="21"/>
    </w:p>
    <w:p w14:paraId="4B0C064F" w14:textId="77777777" w:rsidR="002D7090" w:rsidRDefault="002D7090" w:rsidP="001E32A6">
      <w:pPr>
        <w:spacing w:line="360" w:lineRule="auto"/>
        <w:rPr>
          <w:sz w:val="18"/>
          <w:szCs w:val="18"/>
          <w:lang w:val="en-GB"/>
        </w:rPr>
      </w:pPr>
    </w:p>
    <w:p w14:paraId="628B77A6" w14:textId="77777777" w:rsidR="002D7090" w:rsidRDefault="002D7090" w:rsidP="001E32A6">
      <w:pPr>
        <w:spacing w:line="360" w:lineRule="auto"/>
        <w:rPr>
          <w:sz w:val="18"/>
          <w:szCs w:val="18"/>
          <w:lang w:val="en-GB"/>
        </w:rPr>
      </w:pPr>
    </w:p>
    <w:sectPr w:rsidR="002D7090" w:rsidSect="002D7090">
      <w:type w:val="continuous"/>
      <w:pgSz w:w="11906" w:h="16838"/>
      <w:pgMar w:top="2676" w:right="2268" w:bottom="2098" w:left="1985" w:header="993" w:footer="680"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E641" w14:textId="77777777" w:rsidR="00487F7C" w:rsidRDefault="00487F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53DE" w14:textId="77777777" w:rsidR="006D55C5" w:rsidRPr="006D55C5" w:rsidRDefault="006D55C5" w:rsidP="006D55C5">
    <w:pPr>
      <w:spacing w:line="240" w:lineRule="auto"/>
      <w:rPr>
        <w:rFonts w:ascii="Corbel" w:hAnsi="Corbe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 w:id="1">
    <w:p w14:paraId="3E33C1E5" w14:textId="406DB91B" w:rsidR="0097229C" w:rsidRPr="0097229C" w:rsidRDefault="0097229C">
      <w:pPr>
        <w:pStyle w:val="Fotnotstext"/>
        <w:rPr>
          <w:lang w:val="en-GB"/>
        </w:rPr>
      </w:pPr>
      <w:r>
        <w:rPr>
          <w:rStyle w:val="Fotnotsreferens"/>
        </w:rPr>
        <w:footnoteRef/>
      </w:r>
      <w:r w:rsidRPr="0097229C">
        <w:rPr>
          <w:lang w:val="en-GB"/>
        </w:rPr>
        <w:t xml:space="preserve"> No </w:t>
      </w:r>
      <w:r w:rsidR="00030AC6">
        <w:rPr>
          <w:lang w:val="en-GB"/>
        </w:rPr>
        <w:t>frequency is set in the CSDDD</w:t>
      </w:r>
      <w:r>
        <w:rPr>
          <w:lang w:val="en-GB"/>
        </w:rPr>
        <w:t xml:space="preserve">. We recommend every 3 years. </w:t>
      </w:r>
      <w:r w:rsidR="00030AC6">
        <w:rPr>
          <w:lang w:val="en-GB"/>
        </w:rPr>
        <w:t xml:space="preserve">We also provide a template at </w:t>
      </w:r>
      <w:hyperlink r:id="rId1" w:history="1">
        <w:r w:rsidR="004F66F1" w:rsidRPr="00030AC6">
          <w:rPr>
            <w:rStyle w:val="Hyperlnk"/>
            <w:lang w:val="en-GB"/>
          </w:rPr>
          <w:t>www.hållbarupphandling.se/en/processkrav-2</w:t>
        </w:r>
      </w:hyperlink>
    </w:p>
  </w:footnote>
  <w:footnote w:id="2">
    <w:p w14:paraId="22F21CA7" w14:textId="4692E300" w:rsidR="00030AC6" w:rsidRPr="00030AC6" w:rsidRDefault="00030AC6">
      <w:pPr>
        <w:pStyle w:val="Fotnotstext"/>
        <w:rPr>
          <w:lang w:val="en-GB"/>
        </w:rPr>
      </w:pPr>
      <w:r>
        <w:rPr>
          <w:rStyle w:val="Fotnotsreferens"/>
        </w:rPr>
        <w:footnoteRef/>
      </w:r>
      <w:r w:rsidRPr="00030AC6">
        <w:rPr>
          <w:lang w:val="en-GB"/>
        </w:rPr>
        <w:t xml:space="preserve"> We provide a</w:t>
      </w:r>
      <w:r>
        <w:rPr>
          <w:lang w:val="en-GB"/>
        </w:rPr>
        <w:t>n e-learning and</w:t>
      </w:r>
      <w:r w:rsidRPr="00030AC6">
        <w:rPr>
          <w:lang w:val="en-GB"/>
        </w:rPr>
        <w:t xml:space="preserve"> template </w:t>
      </w:r>
      <w:r>
        <w:rPr>
          <w:lang w:val="en-GB"/>
        </w:rPr>
        <w:t xml:space="preserve">at </w:t>
      </w:r>
      <w:hyperlink r:id="rId2" w:history="1">
        <w:r w:rsidRPr="00030AC6">
          <w:rPr>
            <w:rStyle w:val="Hyperlnk"/>
            <w:lang w:val="en-GB"/>
          </w:rPr>
          <w:t>www.hållbarupphandling.se/en/processkrav-2</w:t>
        </w:r>
      </w:hyperlink>
      <w:r>
        <w:rPr>
          <w:lang w:val="en-GB"/>
        </w:rPr>
        <w:t xml:space="preserve">. </w:t>
      </w:r>
    </w:p>
  </w:footnote>
  <w:footnote w:id="3">
    <w:p w14:paraId="0F74B438" w14:textId="31B9795B" w:rsidR="00030AC6" w:rsidRPr="00030AC6" w:rsidRDefault="00030AC6">
      <w:pPr>
        <w:pStyle w:val="Fotnotstext"/>
        <w:rPr>
          <w:lang w:val="en-GB"/>
        </w:rPr>
      </w:pPr>
      <w:r>
        <w:rPr>
          <w:rStyle w:val="Fotnotsreferens"/>
        </w:rPr>
        <w:footnoteRef/>
      </w:r>
      <w:r w:rsidRPr="00030AC6">
        <w:rPr>
          <w:lang w:val="en-GB"/>
        </w:rPr>
        <w:t xml:space="preserve"> No </w:t>
      </w:r>
      <w:r>
        <w:rPr>
          <w:lang w:val="en-GB"/>
        </w:rPr>
        <w:t>r</w:t>
      </w:r>
      <w:r w:rsidRPr="00030AC6">
        <w:rPr>
          <w:lang w:val="en-GB"/>
        </w:rPr>
        <w:t xml:space="preserve">equirement, but </w:t>
      </w:r>
      <w:r>
        <w:rPr>
          <w:lang w:val="en-GB"/>
        </w:rPr>
        <w:t xml:space="preserve">frontrunner </w:t>
      </w:r>
      <w:r w:rsidR="00552A59">
        <w:rPr>
          <w:lang w:val="en-GB"/>
        </w:rPr>
        <w:t xml:space="preserve">best </w:t>
      </w:r>
      <w:r w:rsidRPr="00030AC6">
        <w:rPr>
          <w:lang w:val="en-GB"/>
        </w:rPr>
        <w:t>practice.</w:t>
      </w:r>
      <w:r>
        <w:rPr>
          <w:lang w:val="en-GB"/>
        </w:rPr>
        <w:t xml:space="preserve"> </w:t>
      </w:r>
    </w:p>
  </w:footnote>
  <w:footnote w:id="4">
    <w:p w14:paraId="532F6488" w14:textId="1330C259" w:rsidR="00030AC6" w:rsidRPr="00030AC6" w:rsidRDefault="00030AC6">
      <w:pPr>
        <w:pStyle w:val="Fotnotstext"/>
        <w:rPr>
          <w:lang w:val="en-GB"/>
        </w:rPr>
      </w:pPr>
      <w:r>
        <w:rPr>
          <w:rStyle w:val="Fotnotsreferens"/>
        </w:rPr>
        <w:footnoteRef/>
      </w:r>
      <w:r w:rsidRPr="00030AC6">
        <w:rPr>
          <w:lang w:val="en-GB"/>
        </w:rPr>
        <w:t xml:space="preserve"> We provide a</w:t>
      </w:r>
      <w:r>
        <w:rPr>
          <w:lang w:val="en-GB"/>
        </w:rPr>
        <w:t>n e-learning and</w:t>
      </w:r>
      <w:r w:rsidRPr="00030AC6">
        <w:rPr>
          <w:lang w:val="en-GB"/>
        </w:rPr>
        <w:t xml:space="preserve"> template </w:t>
      </w:r>
      <w:r>
        <w:rPr>
          <w:lang w:val="en-GB"/>
        </w:rPr>
        <w:t xml:space="preserve">at </w:t>
      </w:r>
      <w:hyperlink r:id="rId3" w:history="1">
        <w:r w:rsidRPr="00030AC6">
          <w:rPr>
            <w:rStyle w:val="Hyperlnk"/>
            <w:lang w:val="en-GB"/>
          </w:rPr>
          <w:t>www.hållbarupphandling.se/en/processkrav-2</w:t>
        </w:r>
      </w:hyperlink>
      <w:r>
        <w:rPr>
          <w:lang w:val="en-GB"/>
        </w:rPr>
        <w:t>.</w:t>
      </w:r>
    </w:p>
  </w:footnote>
  <w:footnote w:id="5">
    <w:p w14:paraId="1FAD2B8C" w14:textId="6444F8B2" w:rsidR="00030AC6" w:rsidRPr="004F1735" w:rsidRDefault="00030AC6">
      <w:pPr>
        <w:pStyle w:val="Fotnotstext"/>
        <w:rPr>
          <w:lang w:val="en-GB"/>
        </w:rPr>
      </w:pPr>
      <w:r>
        <w:rPr>
          <w:rStyle w:val="Fotnotsreferens"/>
        </w:rPr>
        <w:footnoteRef/>
      </w:r>
      <w:r w:rsidRPr="00030AC6">
        <w:rPr>
          <w:lang w:val="en-GB"/>
        </w:rPr>
        <w:t xml:space="preserve"> </w:t>
      </w:r>
      <w:hyperlink r:id="rId4" w:history="1">
        <w:r w:rsidRPr="00030AC6">
          <w:rPr>
            <w:rStyle w:val="Hyperlnk"/>
            <w:lang w:val="en-GB"/>
          </w:rPr>
          <w:t>www.hållbarupphandling.se/en/kallor</w:t>
        </w:r>
      </w:hyperlink>
      <w:r w:rsidR="004F1735" w:rsidRPr="004F1735">
        <w:rPr>
          <w:lang w:val="en-GB"/>
        </w:rPr>
        <w:t xml:space="preserve"> [</w:t>
      </w:r>
      <w:r w:rsidR="004F1735">
        <w:rPr>
          <w:lang w:val="en-GB"/>
        </w:rPr>
        <w:t>keep footnote]</w:t>
      </w:r>
    </w:p>
  </w:footnote>
  <w:footnote w:id="6">
    <w:p w14:paraId="0AF23ADC" w14:textId="4BBAF42B" w:rsidR="00D85287" w:rsidRPr="00030AC6" w:rsidRDefault="00D85287" w:rsidP="00D85287">
      <w:pPr>
        <w:pStyle w:val="Fotnotstext"/>
        <w:rPr>
          <w:lang w:val="en-GB"/>
        </w:rPr>
      </w:pPr>
      <w:r>
        <w:rPr>
          <w:rStyle w:val="Fotnotsreferens"/>
        </w:rPr>
        <w:footnoteRef/>
      </w:r>
      <w:r w:rsidRPr="00030AC6">
        <w:rPr>
          <w:lang w:val="en-GB"/>
        </w:rPr>
        <w:t xml:space="preserve"> </w:t>
      </w:r>
      <w:r>
        <w:rPr>
          <w:lang w:val="en-GB"/>
        </w:rPr>
        <w:t>“</w:t>
      </w:r>
      <w:r w:rsidRPr="00030AC6">
        <w:rPr>
          <w:lang w:val="en-GB"/>
        </w:rPr>
        <w:t>Shall requirement</w:t>
      </w:r>
      <w:r w:rsidR="003407F1">
        <w:rPr>
          <w:lang w:val="en-GB"/>
        </w:rPr>
        <w:t>”</w:t>
      </w:r>
      <w:r w:rsidRPr="00030AC6">
        <w:rPr>
          <w:lang w:val="en-GB"/>
        </w:rPr>
        <w:t xml:space="preserve"> in the Swedish Regions’ contract clause</w:t>
      </w:r>
      <w:r>
        <w:rPr>
          <w:lang w:val="en-GB"/>
        </w:rPr>
        <w:t xml:space="preserve"> on due diligence for sustainable supply chains and covered by the risk assessment template</w:t>
      </w:r>
      <w:r w:rsidRPr="00030AC6">
        <w:rPr>
          <w:lang w:val="en-GB"/>
        </w:rPr>
        <w:t xml:space="preserve">; </w:t>
      </w:r>
      <w:r>
        <w:rPr>
          <w:lang w:val="en-GB"/>
        </w:rPr>
        <w:t>“</w:t>
      </w:r>
      <w:r w:rsidRPr="00030AC6">
        <w:rPr>
          <w:lang w:val="en-GB"/>
        </w:rPr>
        <w:t>should requirement</w:t>
      </w:r>
      <w:r w:rsidR="003407F1">
        <w:rPr>
          <w:lang w:val="en-GB"/>
        </w:rPr>
        <w:t>”</w:t>
      </w:r>
      <w:r w:rsidRPr="00030AC6">
        <w:rPr>
          <w:lang w:val="en-GB"/>
        </w:rPr>
        <w:t xml:space="preserve"> in the CSDDD</w:t>
      </w:r>
      <w:r>
        <w:rPr>
          <w:lang w:val="en-GB"/>
        </w:rPr>
        <w:t xml:space="preserve">. </w:t>
      </w:r>
    </w:p>
  </w:footnote>
  <w:footnote w:id="7">
    <w:p w14:paraId="175836FA" w14:textId="58C0191F" w:rsidR="009B332F" w:rsidRPr="009B332F" w:rsidRDefault="009B332F">
      <w:pPr>
        <w:pStyle w:val="Fotnotstext"/>
        <w:rPr>
          <w:lang w:val="en-GB"/>
        </w:rPr>
      </w:pPr>
      <w:r>
        <w:rPr>
          <w:rStyle w:val="Fotnotsreferens"/>
        </w:rPr>
        <w:footnoteRef/>
      </w:r>
      <w:r w:rsidRPr="009B332F">
        <w:rPr>
          <w:lang w:val="en-GB"/>
        </w:rPr>
        <w:t xml:space="preserve"> Covered by the risk assessment t</w:t>
      </w:r>
      <w:r>
        <w:rPr>
          <w:lang w:val="en-GB"/>
        </w:rPr>
        <w:t>emplate.</w:t>
      </w:r>
    </w:p>
  </w:footnote>
  <w:footnote w:id="8">
    <w:p w14:paraId="33B0A28C" w14:textId="2496D448" w:rsidR="009B332F" w:rsidRPr="009B332F" w:rsidRDefault="009B332F">
      <w:pPr>
        <w:pStyle w:val="Fotnotstext"/>
        <w:rPr>
          <w:lang w:val="en-GB"/>
        </w:rPr>
      </w:pPr>
      <w:r>
        <w:rPr>
          <w:rStyle w:val="Fotnotsreferens"/>
        </w:rPr>
        <w:footnoteRef/>
      </w:r>
      <w:r w:rsidRPr="009B332F">
        <w:rPr>
          <w:lang w:val="en-GB"/>
        </w:rPr>
        <w:t xml:space="preserve"> All three </w:t>
      </w:r>
      <w:r w:rsidR="00662E37">
        <w:rPr>
          <w:lang w:val="en-GB"/>
        </w:rPr>
        <w:t xml:space="preserve">are CSDDD requirements (the first one is </w:t>
      </w:r>
      <w:r w:rsidR="003407F1">
        <w:rPr>
          <w:lang w:val="en-GB"/>
        </w:rPr>
        <w:t xml:space="preserve">also </w:t>
      </w:r>
      <w:r w:rsidR="00662E37">
        <w:rPr>
          <w:lang w:val="en-GB"/>
        </w:rPr>
        <w:t xml:space="preserve">a requirement in the Swedish Regions’ contract clause) and </w:t>
      </w:r>
      <w:r w:rsidRPr="009B332F">
        <w:rPr>
          <w:lang w:val="en-GB"/>
        </w:rPr>
        <w:t>covered by t</w:t>
      </w:r>
      <w:r>
        <w:rPr>
          <w:lang w:val="en-GB"/>
        </w:rPr>
        <w:t xml:space="preserve">he risk assessment template. </w:t>
      </w:r>
    </w:p>
  </w:footnote>
  <w:footnote w:id="9">
    <w:p w14:paraId="10277EE8" w14:textId="3F310BA4" w:rsidR="009B332F" w:rsidRPr="009B332F" w:rsidRDefault="009B332F">
      <w:pPr>
        <w:pStyle w:val="Fotnotstext"/>
        <w:rPr>
          <w:lang w:val="en-GB"/>
        </w:rPr>
      </w:pPr>
      <w:r>
        <w:rPr>
          <w:rStyle w:val="Fotnotsreferens"/>
        </w:rPr>
        <w:footnoteRef/>
      </w:r>
      <w:r w:rsidRPr="009B332F">
        <w:rPr>
          <w:lang w:val="en-GB"/>
        </w:rPr>
        <w:t xml:space="preserve"> All companies should subscribe to t</w:t>
      </w:r>
      <w:r>
        <w:rPr>
          <w:lang w:val="en-GB"/>
        </w:rPr>
        <w:t xml:space="preserve">he newsletter from the Business &amp; Human Rights Resource Centre, at a minimum. There are many others. </w:t>
      </w:r>
    </w:p>
  </w:footnote>
  <w:footnote w:id="10">
    <w:p w14:paraId="0DBAB417" w14:textId="504EE2B7" w:rsidR="009B332F" w:rsidRPr="009B332F" w:rsidRDefault="009B332F">
      <w:pPr>
        <w:pStyle w:val="Fotnotstext"/>
        <w:rPr>
          <w:lang w:val="en-GB"/>
        </w:rPr>
      </w:pPr>
      <w:r>
        <w:rPr>
          <w:rStyle w:val="Fotnotsreferens"/>
        </w:rPr>
        <w:footnoteRef/>
      </w:r>
      <w:r w:rsidRPr="009B332F">
        <w:rPr>
          <w:lang w:val="en-GB"/>
        </w:rPr>
        <w:t xml:space="preserve"> Action plan</w:t>
      </w:r>
      <w:r>
        <w:rPr>
          <w:lang w:val="en-GB"/>
        </w:rPr>
        <w:t>s</w:t>
      </w:r>
      <w:r w:rsidRPr="009B332F">
        <w:rPr>
          <w:lang w:val="en-GB"/>
        </w:rPr>
        <w:t xml:space="preserve"> </w:t>
      </w:r>
      <w:r>
        <w:rPr>
          <w:lang w:val="en-GB"/>
        </w:rPr>
        <w:t xml:space="preserve">are </w:t>
      </w:r>
      <w:r w:rsidRPr="009B332F">
        <w:rPr>
          <w:lang w:val="en-GB"/>
        </w:rPr>
        <w:t>included in t</w:t>
      </w:r>
      <w:r>
        <w:rPr>
          <w:lang w:val="en-GB"/>
        </w:rPr>
        <w:t xml:space="preserve">he risk assessment template. </w:t>
      </w:r>
    </w:p>
  </w:footnote>
  <w:footnote w:id="11">
    <w:p w14:paraId="5DBF6640" w14:textId="29AED268" w:rsidR="009B332F" w:rsidRPr="004F1735" w:rsidRDefault="009B332F">
      <w:pPr>
        <w:pStyle w:val="Fotnotstext"/>
        <w:rPr>
          <w:lang w:val="en-GB"/>
        </w:rPr>
      </w:pPr>
      <w:r>
        <w:rPr>
          <w:rStyle w:val="Fotnotsreferens"/>
        </w:rPr>
        <w:footnoteRef/>
      </w:r>
      <w:r w:rsidRPr="004F1735">
        <w:rPr>
          <w:lang w:val="en-GB"/>
        </w:rPr>
        <w:t xml:space="preserve"> </w:t>
      </w:r>
      <w:hyperlink r:id="rId5" w:history="1">
        <w:r w:rsidRPr="00030AC6">
          <w:rPr>
            <w:rStyle w:val="Hyperlnk"/>
            <w:lang w:val="en-GB"/>
          </w:rPr>
          <w:t>www.hållbarupphandling.se/en/kallor</w:t>
        </w:r>
      </w:hyperlink>
      <w:r w:rsidR="004F1735" w:rsidRPr="004F1735">
        <w:rPr>
          <w:lang w:val="en-GB"/>
        </w:rPr>
        <w:t xml:space="preserve"> [</w:t>
      </w:r>
      <w:r w:rsidR="004F1735">
        <w:rPr>
          <w:lang w:val="en-GB"/>
        </w:rPr>
        <w:t>keep footnote]</w:t>
      </w:r>
    </w:p>
  </w:footnote>
  <w:footnote w:id="12">
    <w:p w14:paraId="146BC1AF" w14:textId="13BF7846" w:rsidR="00662E37" w:rsidRPr="00662E37" w:rsidRDefault="00662E37">
      <w:pPr>
        <w:pStyle w:val="Fotnotstext"/>
        <w:rPr>
          <w:lang w:val="en-GB"/>
        </w:rPr>
      </w:pPr>
      <w:r>
        <w:rPr>
          <w:rStyle w:val="Fotnotsreferens"/>
        </w:rPr>
        <w:footnoteRef/>
      </w:r>
      <w:r w:rsidRPr="00662E37">
        <w:rPr>
          <w:lang w:val="en-GB"/>
        </w:rPr>
        <w:t xml:space="preserve"> </w:t>
      </w:r>
      <w:bookmarkStart w:id="4" w:name="_Hlk195081037"/>
      <w:r w:rsidRPr="00662E37">
        <w:rPr>
          <w:lang w:val="en-GB"/>
        </w:rPr>
        <w:t>Requirement in t</w:t>
      </w:r>
      <w:r>
        <w:rPr>
          <w:lang w:val="en-GB"/>
        </w:rPr>
        <w:t>he Swedish Regions’ contract clause.</w:t>
      </w:r>
      <w:bookmarkEnd w:id="4"/>
    </w:p>
  </w:footnote>
  <w:footnote w:id="13">
    <w:p w14:paraId="1DBC7199" w14:textId="65444BB5" w:rsidR="009B332F" w:rsidRPr="004F1735" w:rsidRDefault="009B332F">
      <w:pPr>
        <w:pStyle w:val="Fotnotstext"/>
        <w:rPr>
          <w:lang w:val="en-GB"/>
        </w:rPr>
      </w:pPr>
      <w:r>
        <w:rPr>
          <w:rStyle w:val="Fotnotsreferens"/>
        </w:rPr>
        <w:footnoteRef/>
      </w:r>
      <w:r w:rsidRPr="004F1735">
        <w:rPr>
          <w:lang w:val="en-GB"/>
        </w:rPr>
        <w:t xml:space="preserve"> CSDDD requirements</w:t>
      </w:r>
    </w:p>
  </w:footnote>
  <w:footnote w:id="14">
    <w:p w14:paraId="329A1F05" w14:textId="25068888" w:rsidR="009B332F" w:rsidRPr="004F1735" w:rsidRDefault="009B332F">
      <w:pPr>
        <w:pStyle w:val="Fotnotstext"/>
        <w:rPr>
          <w:lang w:val="en-GB"/>
        </w:rPr>
      </w:pPr>
      <w:r>
        <w:rPr>
          <w:rStyle w:val="Fotnotsreferens"/>
        </w:rPr>
        <w:footnoteRef/>
      </w:r>
      <w:r w:rsidRPr="004F1735">
        <w:rPr>
          <w:lang w:val="en-GB"/>
        </w:rPr>
        <w:t xml:space="preserve"> </w:t>
      </w:r>
      <w:hyperlink r:id="rId6" w:history="1">
        <w:r w:rsidRPr="004F1735">
          <w:rPr>
            <w:rStyle w:val="Hyperlnk"/>
            <w:lang w:val="en-GB"/>
          </w:rPr>
          <w:t>www.hållbarupphandling.se/en/kallor</w:t>
        </w:r>
      </w:hyperlink>
      <w:r w:rsidR="004F1735" w:rsidRPr="004F1735">
        <w:rPr>
          <w:lang w:val="en-GB"/>
        </w:rPr>
        <w:t xml:space="preserve"> [</w:t>
      </w:r>
      <w:r w:rsidR="004F1735">
        <w:rPr>
          <w:lang w:val="en-GB"/>
        </w:rPr>
        <w:t>keep footnote]</w:t>
      </w:r>
    </w:p>
  </w:footnote>
  <w:footnote w:id="15">
    <w:p w14:paraId="265433BF" w14:textId="46072FDB" w:rsidR="009B332F" w:rsidRPr="009B332F" w:rsidRDefault="009B332F">
      <w:pPr>
        <w:pStyle w:val="Fotnotstext"/>
        <w:rPr>
          <w:lang w:val="en-GB"/>
        </w:rPr>
      </w:pPr>
      <w:r>
        <w:rPr>
          <w:rStyle w:val="Fotnotsreferens"/>
        </w:rPr>
        <w:footnoteRef/>
      </w:r>
      <w:r w:rsidRPr="009B332F">
        <w:rPr>
          <w:lang w:val="en-GB"/>
        </w:rPr>
        <w:t xml:space="preserve"> Add </w:t>
      </w:r>
      <w:r>
        <w:rPr>
          <w:lang w:val="en-GB"/>
        </w:rPr>
        <w:t xml:space="preserve">the name of </w:t>
      </w:r>
      <w:r w:rsidRPr="009B332F">
        <w:rPr>
          <w:lang w:val="en-GB"/>
        </w:rPr>
        <w:t>your company’s cross-functional d</w:t>
      </w:r>
      <w:r>
        <w:rPr>
          <w:lang w:val="en-GB"/>
        </w:rPr>
        <w:t xml:space="preserve">ecision forum. It usually includes functions such as Procurement, Sustainability, Risk Management, Communications and the executive team. </w:t>
      </w:r>
    </w:p>
  </w:footnote>
  <w:footnote w:id="16">
    <w:p w14:paraId="581AF1F7" w14:textId="725DCE47" w:rsidR="00CE07B9" w:rsidRPr="00CE07B9" w:rsidRDefault="00CE07B9">
      <w:pPr>
        <w:pStyle w:val="Fotnotstext"/>
        <w:rPr>
          <w:lang w:val="en-GB"/>
        </w:rPr>
      </w:pPr>
      <w:r>
        <w:rPr>
          <w:rStyle w:val="Fotnotsreferens"/>
        </w:rPr>
        <w:footnoteRef/>
      </w:r>
      <w:r w:rsidRPr="00CE07B9">
        <w:rPr>
          <w:lang w:val="en-GB"/>
        </w:rPr>
        <w:t xml:space="preserve"> </w:t>
      </w:r>
      <w:bookmarkStart w:id="8" w:name="_Hlk195081221"/>
      <w:r>
        <w:rPr>
          <w:lang w:val="en-GB"/>
        </w:rPr>
        <w:t xml:space="preserve">CSDDD requirement and requirement in the Swedish Regions’ contract clause. </w:t>
      </w:r>
      <w:bookmarkEnd w:id="8"/>
    </w:p>
  </w:footnote>
  <w:footnote w:id="17">
    <w:p w14:paraId="4E867462" w14:textId="6A932C47" w:rsidR="00E11435" w:rsidRPr="00E11435" w:rsidRDefault="00E11435">
      <w:pPr>
        <w:pStyle w:val="Fotnotstext"/>
        <w:rPr>
          <w:lang w:val="en-GB"/>
        </w:rPr>
      </w:pPr>
      <w:r>
        <w:rPr>
          <w:rStyle w:val="Fotnotsreferens"/>
        </w:rPr>
        <w:footnoteRef/>
      </w:r>
      <w:r w:rsidRPr="00E11435">
        <w:rPr>
          <w:lang w:val="en-GB"/>
        </w:rPr>
        <w:t xml:space="preserve"> </w:t>
      </w:r>
      <w:hyperlink r:id="rId7" w:history="1">
        <w:r w:rsidRPr="004F1735">
          <w:rPr>
            <w:rStyle w:val="Hyperlnk"/>
            <w:lang w:val="en-GB"/>
          </w:rPr>
          <w:t>www.hållbarupphandling.se/en/kallor</w:t>
        </w:r>
      </w:hyperlink>
      <w:r w:rsidRPr="004F1735">
        <w:rPr>
          <w:lang w:val="en-GB"/>
        </w:rPr>
        <w:t xml:space="preserve"> [</w:t>
      </w:r>
      <w:r>
        <w:rPr>
          <w:lang w:val="en-GB"/>
        </w:rPr>
        <w:t>keep footnote]</w:t>
      </w:r>
    </w:p>
  </w:footnote>
  <w:footnote w:id="18">
    <w:p w14:paraId="14F216D3" w14:textId="3E69D912" w:rsidR="00CE07B9" w:rsidRPr="00CE07B9" w:rsidRDefault="00CE07B9">
      <w:pPr>
        <w:pStyle w:val="Fotnotstext"/>
        <w:rPr>
          <w:lang w:val="en-GB"/>
        </w:rPr>
      </w:pPr>
      <w:r>
        <w:rPr>
          <w:rStyle w:val="Fotnotsreferens"/>
        </w:rPr>
        <w:footnoteRef/>
      </w:r>
      <w:r w:rsidRPr="00CE07B9">
        <w:rPr>
          <w:lang w:val="en-GB"/>
        </w:rPr>
        <w:t xml:space="preserve"> </w:t>
      </w:r>
      <w:r>
        <w:rPr>
          <w:lang w:val="en-GB"/>
        </w:rPr>
        <w:t>CSDDD requirement and requirement in the Swedish Regions’ contract clause.</w:t>
      </w:r>
    </w:p>
  </w:footnote>
  <w:footnote w:id="19">
    <w:p w14:paraId="6462288D" w14:textId="1404A33E" w:rsidR="00CE07B9" w:rsidRPr="00CE07B9" w:rsidRDefault="00CE07B9">
      <w:pPr>
        <w:pStyle w:val="Fotnotstext"/>
        <w:rPr>
          <w:lang w:val="en-GB"/>
        </w:rPr>
      </w:pPr>
      <w:r>
        <w:rPr>
          <w:rStyle w:val="Fotnotsreferens"/>
        </w:rPr>
        <w:footnoteRef/>
      </w:r>
      <w:r w:rsidRPr="00CE07B9">
        <w:rPr>
          <w:lang w:val="en-GB"/>
        </w:rPr>
        <w:t xml:space="preserve"> </w:t>
      </w:r>
      <w:bookmarkStart w:id="10" w:name="_Hlk195081370"/>
      <w:r>
        <w:rPr>
          <w:lang w:val="en-GB"/>
        </w:rPr>
        <w:t xml:space="preserve">CSDDD requirement in [brackets]. Supervisory authority is not in place in Sweden yet. </w:t>
      </w:r>
      <w:bookmarkEnd w:id="10"/>
    </w:p>
  </w:footnote>
  <w:footnote w:id="20">
    <w:p w14:paraId="4DA50DF9" w14:textId="08DDA845" w:rsidR="009B332F" w:rsidRPr="009B332F" w:rsidRDefault="009B332F">
      <w:pPr>
        <w:pStyle w:val="Fotnotstext"/>
        <w:rPr>
          <w:lang w:val="en-GB"/>
        </w:rPr>
      </w:pPr>
      <w:r>
        <w:rPr>
          <w:rStyle w:val="Fotnotsreferens"/>
        </w:rPr>
        <w:footnoteRef/>
      </w:r>
      <w:r w:rsidRPr="009B332F">
        <w:rPr>
          <w:lang w:val="en-GB"/>
        </w:rPr>
        <w:t xml:space="preserve"> We recommend the </w:t>
      </w:r>
      <w:r w:rsidR="008A1AAA">
        <w:rPr>
          <w:lang w:val="en-GB"/>
        </w:rPr>
        <w:t xml:space="preserve">Toolkit (Buyer Code and </w:t>
      </w:r>
      <w:r w:rsidR="003407F1">
        <w:rPr>
          <w:lang w:val="en-GB"/>
        </w:rPr>
        <w:t>European Model Clauses</w:t>
      </w:r>
      <w:r w:rsidR="008A1AAA">
        <w:rPr>
          <w:lang w:val="en-GB"/>
        </w:rPr>
        <w:t xml:space="preserve">) collaboratively developed and hosted by the </w:t>
      </w:r>
      <w:bookmarkStart w:id="12" w:name="_Hlk195107765"/>
      <w:r w:rsidR="00DC5804">
        <w:fldChar w:fldCharType="begin"/>
      </w:r>
      <w:r w:rsidR="00DC5804" w:rsidRPr="00D85287">
        <w:rPr>
          <w:lang w:val="en-GB"/>
        </w:rPr>
        <w:instrText>HYPERLINK "https://www.responsiblecontracting.org/"</w:instrText>
      </w:r>
      <w:r w:rsidR="00DC5804">
        <w:fldChar w:fldCharType="separate"/>
      </w:r>
      <w:r w:rsidR="008A1AAA" w:rsidRPr="008A1AAA">
        <w:rPr>
          <w:rStyle w:val="Hyperlnk"/>
          <w:lang w:val="en-GB"/>
        </w:rPr>
        <w:t>Responsible Contracting Project</w:t>
      </w:r>
      <w:r w:rsidR="00DC5804">
        <w:rPr>
          <w:rStyle w:val="Hyperlnk"/>
          <w:lang w:val="en-GB"/>
        </w:rPr>
        <w:fldChar w:fldCharType="end"/>
      </w:r>
      <w:bookmarkEnd w:id="12"/>
      <w:r w:rsidR="008A1AAA">
        <w:rPr>
          <w:lang w:val="en-GB"/>
        </w:rPr>
        <w:t xml:space="preserve">. </w:t>
      </w:r>
    </w:p>
  </w:footnote>
  <w:footnote w:id="21">
    <w:p w14:paraId="5BC766FF" w14:textId="1D177C1B" w:rsidR="008A1AAA" w:rsidRPr="008A1AAA" w:rsidRDefault="008A1AAA">
      <w:pPr>
        <w:pStyle w:val="Fotnotstext"/>
        <w:rPr>
          <w:lang w:val="en-GB"/>
        </w:rPr>
      </w:pPr>
      <w:r>
        <w:rPr>
          <w:rStyle w:val="Fotnotsreferens"/>
        </w:rPr>
        <w:footnoteRef/>
      </w:r>
      <w:r w:rsidRPr="008A1AAA">
        <w:rPr>
          <w:lang w:val="en-GB"/>
        </w:rPr>
        <w:t xml:space="preserve"> We provide a pre-qualification q</w:t>
      </w:r>
      <w:r>
        <w:rPr>
          <w:lang w:val="en-GB"/>
        </w:rPr>
        <w:t xml:space="preserve">uestionnaire (the questions can </w:t>
      </w:r>
      <w:r w:rsidR="003407F1">
        <w:rPr>
          <w:lang w:val="en-GB"/>
        </w:rPr>
        <w:t xml:space="preserve">also </w:t>
      </w:r>
      <w:r>
        <w:rPr>
          <w:lang w:val="en-GB"/>
        </w:rPr>
        <w:t xml:space="preserve">be </w:t>
      </w:r>
      <w:r w:rsidR="003407F1">
        <w:rPr>
          <w:lang w:val="en-GB"/>
        </w:rPr>
        <w:t>used as</w:t>
      </w:r>
      <w:r w:rsidR="006134FB">
        <w:rPr>
          <w:lang w:val="en-GB"/>
        </w:rPr>
        <w:t xml:space="preserve"> </w:t>
      </w:r>
      <w:r>
        <w:rPr>
          <w:lang w:val="en-GB"/>
        </w:rPr>
        <w:t xml:space="preserve">award criteria) at </w:t>
      </w:r>
      <w:hyperlink r:id="rId8" w:history="1">
        <w:r w:rsidRPr="00DE3FEB">
          <w:rPr>
            <w:rStyle w:val="Hyperlnk"/>
            <w:lang w:val="en-GB"/>
          </w:rPr>
          <w:t>www.hållbarupphandling.se/en/processkrav-4</w:t>
        </w:r>
      </w:hyperlink>
      <w:r>
        <w:rPr>
          <w:lang w:val="en-GB"/>
        </w:rPr>
        <w:t xml:space="preserve">. </w:t>
      </w:r>
    </w:p>
  </w:footnote>
  <w:footnote w:id="22">
    <w:p w14:paraId="62DC233A" w14:textId="6B733C49" w:rsidR="008A1AAA" w:rsidRPr="008A1AAA" w:rsidRDefault="008A1AAA">
      <w:pPr>
        <w:pStyle w:val="Fotnotstext"/>
        <w:rPr>
          <w:lang w:val="en-GB"/>
        </w:rPr>
      </w:pPr>
      <w:r>
        <w:rPr>
          <w:rStyle w:val="Fotnotsreferens"/>
        </w:rPr>
        <w:footnoteRef/>
      </w:r>
      <w:r w:rsidRPr="008A1AAA">
        <w:rPr>
          <w:lang w:val="en-GB"/>
        </w:rPr>
        <w:t xml:space="preserve"> </w:t>
      </w:r>
      <w:r w:rsidRPr="009B332F">
        <w:rPr>
          <w:lang w:val="en-GB"/>
        </w:rPr>
        <w:t xml:space="preserve">We recommend the </w:t>
      </w:r>
      <w:r>
        <w:rPr>
          <w:lang w:val="en-GB"/>
        </w:rPr>
        <w:t>Toolkit (Buyer Code and model contract clauses) collaboratively developed and hosted by the</w:t>
      </w:r>
      <w:r w:rsidR="00EC6B76">
        <w:rPr>
          <w:lang w:val="en-GB"/>
        </w:rPr>
        <w:t xml:space="preserve"> </w:t>
      </w:r>
      <w:hyperlink r:id="rId9" w:history="1">
        <w:r w:rsidR="00EC6B76" w:rsidRPr="008A1AAA">
          <w:rPr>
            <w:rStyle w:val="Hyperlnk"/>
            <w:lang w:val="en-GB"/>
          </w:rPr>
          <w:t>Responsible Contracting Project</w:t>
        </w:r>
      </w:hyperlink>
      <w:r>
        <w:rPr>
          <w:lang w:val="en-GB"/>
        </w:rPr>
        <w:t>.</w:t>
      </w:r>
    </w:p>
  </w:footnote>
  <w:footnote w:id="23">
    <w:p w14:paraId="3AABC1BB" w14:textId="607A64B0" w:rsidR="008A1AAA" w:rsidRPr="008A1AAA" w:rsidRDefault="008A1AAA">
      <w:pPr>
        <w:pStyle w:val="Fotnotstext"/>
        <w:rPr>
          <w:lang w:val="en-GB"/>
        </w:rPr>
      </w:pPr>
      <w:r>
        <w:rPr>
          <w:rStyle w:val="Fotnotsreferens"/>
        </w:rPr>
        <w:footnoteRef/>
      </w:r>
      <w:r w:rsidRPr="008A1AAA">
        <w:rPr>
          <w:lang w:val="en-GB"/>
        </w:rPr>
        <w:t xml:space="preserve"> CSDDD requirement</w:t>
      </w:r>
      <w:r>
        <w:rPr>
          <w:lang w:val="en-GB"/>
        </w:rPr>
        <w:t xml:space="preserve">. </w:t>
      </w:r>
    </w:p>
  </w:footnote>
  <w:footnote w:id="24">
    <w:p w14:paraId="026281C1" w14:textId="679CF87A" w:rsidR="008A1AAA" w:rsidRPr="008A1AAA" w:rsidRDefault="008A1AAA">
      <w:pPr>
        <w:pStyle w:val="Fotnotstext"/>
        <w:rPr>
          <w:lang w:val="en-GB"/>
        </w:rPr>
      </w:pPr>
      <w:r>
        <w:rPr>
          <w:rStyle w:val="Fotnotsreferens"/>
        </w:rPr>
        <w:footnoteRef/>
      </w:r>
      <w:r w:rsidRPr="008A1AAA">
        <w:rPr>
          <w:lang w:val="en-GB"/>
        </w:rPr>
        <w:t xml:space="preserve"> In the current CSDDD version,</w:t>
      </w:r>
      <w:r>
        <w:rPr>
          <w:lang w:val="en-GB"/>
        </w:rPr>
        <w:t xml:space="preserve"> it says every 12 months. In the Omnibus proposal, it says every 5 years. We recommend every 3 years. </w:t>
      </w:r>
    </w:p>
  </w:footnote>
  <w:footnote w:id="25">
    <w:p w14:paraId="5C294D05" w14:textId="155A3232" w:rsidR="008A1AAA" w:rsidRPr="00D85287" w:rsidRDefault="008A1AAA">
      <w:pPr>
        <w:pStyle w:val="Fotnotstext"/>
        <w:rPr>
          <w:lang w:val="en-GB"/>
        </w:rPr>
      </w:pPr>
      <w:r>
        <w:rPr>
          <w:rStyle w:val="Fotnotsreferens"/>
        </w:rPr>
        <w:footnoteRef/>
      </w:r>
      <w:r w:rsidRPr="00D85287">
        <w:rPr>
          <w:lang w:val="en-GB"/>
        </w:rPr>
        <w:t xml:space="preserve"> CSDDD requirements. </w:t>
      </w:r>
    </w:p>
  </w:footnote>
  <w:footnote w:id="26">
    <w:p w14:paraId="1D538806" w14:textId="709EADBD" w:rsidR="008A1AAA" w:rsidRPr="00D85287" w:rsidRDefault="008A1AAA">
      <w:pPr>
        <w:pStyle w:val="Fotnotstext"/>
        <w:rPr>
          <w:lang w:val="en-GB"/>
        </w:rPr>
      </w:pPr>
      <w:r>
        <w:rPr>
          <w:rStyle w:val="Fotnotsreferens"/>
        </w:rPr>
        <w:footnoteRef/>
      </w:r>
      <w:r w:rsidRPr="00D85287">
        <w:rPr>
          <w:lang w:val="en-GB"/>
        </w:rPr>
        <w:t xml:space="preserve"> CSDDD requirement. </w:t>
      </w:r>
    </w:p>
  </w:footnote>
  <w:footnote w:id="27">
    <w:p w14:paraId="3EF3C2E5" w14:textId="3A6FB7EB" w:rsidR="008A1AAA" w:rsidRPr="00D85287" w:rsidRDefault="008A1AAA">
      <w:pPr>
        <w:pStyle w:val="Fotnotstext"/>
        <w:rPr>
          <w:lang w:val="en-GB"/>
        </w:rPr>
      </w:pPr>
      <w:r>
        <w:rPr>
          <w:rStyle w:val="Fotnotsreferens"/>
        </w:rPr>
        <w:footnoteRef/>
      </w:r>
      <w:r w:rsidRPr="00D85287">
        <w:rPr>
          <w:lang w:val="en-GB"/>
        </w:rPr>
        <w:t xml:space="preserve"> CSDDD requirement. </w:t>
      </w:r>
    </w:p>
  </w:footnote>
  <w:footnote w:id="28">
    <w:p w14:paraId="006A61BF" w14:textId="4B1BD806" w:rsidR="008A1AAA" w:rsidRPr="009A55B6" w:rsidRDefault="008A1AAA">
      <w:pPr>
        <w:pStyle w:val="Fotnotstext"/>
        <w:rPr>
          <w:lang w:val="en-GB"/>
        </w:rPr>
      </w:pPr>
      <w:r>
        <w:rPr>
          <w:rStyle w:val="Fotnotsreferens"/>
        </w:rPr>
        <w:footnoteRef/>
      </w:r>
      <w:r w:rsidRPr="009A55B6">
        <w:rPr>
          <w:lang w:val="en-GB"/>
        </w:rPr>
        <w:t xml:space="preserve"> </w:t>
      </w:r>
      <w:proofErr w:type="gramStart"/>
      <w:r w:rsidR="009A55B6" w:rsidRPr="009A55B6">
        <w:rPr>
          <w:lang w:val="en-GB"/>
        </w:rPr>
        <w:t>”May</w:t>
      </w:r>
      <w:proofErr w:type="gramEnd"/>
      <w:r w:rsidR="009A55B6" w:rsidRPr="009A55B6">
        <w:rPr>
          <w:lang w:val="en-GB"/>
        </w:rPr>
        <w:t>”</w:t>
      </w:r>
      <w:r w:rsidR="009A55B6">
        <w:rPr>
          <w:lang w:val="en-GB"/>
        </w:rPr>
        <w:t xml:space="preserve"> </w:t>
      </w:r>
      <w:r w:rsidR="009A55B6" w:rsidRPr="009A55B6">
        <w:rPr>
          <w:lang w:val="en-GB"/>
        </w:rPr>
        <w:t xml:space="preserve">in </w:t>
      </w:r>
      <w:r w:rsidRPr="009A55B6">
        <w:rPr>
          <w:lang w:val="en-GB"/>
        </w:rPr>
        <w:t>CSDDD.</w:t>
      </w:r>
    </w:p>
  </w:footnote>
  <w:footnote w:id="29">
    <w:p w14:paraId="3AC6C8F3" w14:textId="2D401BDD" w:rsidR="008A1AAA" w:rsidRPr="008A1AAA" w:rsidRDefault="008A1AAA">
      <w:pPr>
        <w:pStyle w:val="Fotnotstext"/>
        <w:rPr>
          <w:lang w:val="en-GB"/>
        </w:rPr>
      </w:pPr>
      <w:r>
        <w:rPr>
          <w:rStyle w:val="Fotnotsreferens"/>
        </w:rPr>
        <w:footnoteRef/>
      </w:r>
      <w:r w:rsidRPr="008A1AAA">
        <w:rPr>
          <w:lang w:val="en-GB"/>
        </w:rPr>
        <w:t xml:space="preserve"> See the European Model Clauses a</w:t>
      </w:r>
      <w:r>
        <w:rPr>
          <w:lang w:val="en-GB"/>
        </w:rPr>
        <w:t xml:space="preserve">t </w:t>
      </w:r>
      <w:hyperlink r:id="rId10" w:history="1">
        <w:r w:rsidRPr="008A1AAA">
          <w:rPr>
            <w:rStyle w:val="Hyperlnk"/>
            <w:lang w:val="en-GB"/>
          </w:rPr>
          <w:t>Responsible Contracting Project</w:t>
        </w:r>
      </w:hyperlink>
      <w:r>
        <w:rPr>
          <w:lang w:val="en-GB"/>
        </w:rPr>
        <w:t xml:space="preserve">. </w:t>
      </w:r>
      <w:r w:rsidR="009A55B6">
        <w:rPr>
          <w:lang w:val="en-GB"/>
        </w:rPr>
        <w:t xml:space="preserve">We provide further guidance at </w:t>
      </w:r>
      <w:hyperlink r:id="rId11" w:history="1">
        <w:r w:rsidR="009A55B6" w:rsidRPr="00DE3FEB">
          <w:rPr>
            <w:rStyle w:val="Hyperlnk"/>
            <w:lang w:val="en-GB"/>
          </w:rPr>
          <w:t>www.hållbarupphandling.se/en/processkrav-6</w:t>
        </w:r>
      </w:hyperlink>
      <w:r w:rsidR="009A55B6">
        <w:rPr>
          <w:lang w:val="en-GB"/>
        </w:rPr>
        <w:t xml:space="preserve">. </w:t>
      </w:r>
    </w:p>
  </w:footnote>
  <w:footnote w:id="30">
    <w:p w14:paraId="49F340EE" w14:textId="15EC5B6D" w:rsidR="008A1AAA" w:rsidRPr="008A1AAA" w:rsidRDefault="008A1AAA">
      <w:pPr>
        <w:pStyle w:val="Fotnotstext"/>
        <w:rPr>
          <w:lang w:val="en-GB"/>
        </w:rPr>
      </w:pPr>
      <w:r>
        <w:rPr>
          <w:rStyle w:val="Fotnotsreferens"/>
        </w:rPr>
        <w:footnoteRef/>
      </w:r>
      <w:r w:rsidRPr="008A1AAA">
        <w:rPr>
          <w:lang w:val="en-GB"/>
        </w:rPr>
        <w:t xml:space="preserve"> </w:t>
      </w:r>
      <w:r w:rsidRPr="009B332F">
        <w:rPr>
          <w:lang w:val="en-GB"/>
        </w:rPr>
        <w:t xml:space="preserve">Add </w:t>
      </w:r>
      <w:r>
        <w:rPr>
          <w:lang w:val="en-GB"/>
        </w:rPr>
        <w:t>the name</w:t>
      </w:r>
      <w:r w:rsidR="009A55B6">
        <w:rPr>
          <w:lang w:val="en-GB"/>
        </w:rPr>
        <w:t xml:space="preserve"> and reference to</w:t>
      </w:r>
      <w:r>
        <w:rPr>
          <w:lang w:val="en-GB"/>
        </w:rPr>
        <w:t xml:space="preserve"> </w:t>
      </w:r>
      <w:r w:rsidRPr="009B332F">
        <w:rPr>
          <w:lang w:val="en-GB"/>
        </w:rPr>
        <w:t xml:space="preserve">your company’s </w:t>
      </w:r>
      <w:r>
        <w:rPr>
          <w:lang w:val="en-GB"/>
        </w:rPr>
        <w:t xml:space="preserve">complaints procedure instruction. </w:t>
      </w:r>
    </w:p>
  </w:footnote>
  <w:footnote w:id="31">
    <w:p w14:paraId="58C1BFBD" w14:textId="2BCFBA7B" w:rsidR="002A7075" w:rsidRPr="009A55B6" w:rsidRDefault="002A7075" w:rsidP="002A7075">
      <w:pPr>
        <w:pStyle w:val="Fotnotstext"/>
        <w:rPr>
          <w:lang w:val="en-GB"/>
        </w:rPr>
      </w:pPr>
      <w:r>
        <w:rPr>
          <w:rStyle w:val="Fotnotsreferens"/>
        </w:rPr>
        <w:footnoteRef/>
      </w:r>
      <w:r w:rsidRPr="009A55B6">
        <w:rPr>
          <w:lang w:val="en-GB"/>
        </w:rPr>
        <w:t xml:space="preserve"> CSDDD requirements. </w:t>
      </w:r>
      <w:r w:rsidR="009A55B6" w:rsidRPr="009A55B6">
        <w:rPr>
          <w:lang w:val="en-GB"/>
        </w:rPr>
        <w:t>The frequency is a</w:t>
      </w:r>
      <w:r w:rsidR="009A55B6">
        <w:rPr>
          <w:lang w:val="en-GB"/>
        </w:rPr>
        <w:t xml:space="preserve">nnually in the current CSDDD version but every 5 years in the Omnibus proposal. </w:t>
      </w:r>
      <w:proofErr w:type="gramStart"/>
      <w:r w:rsidR="009A55B6">
        <w:rPr>
          <w:lang w:val="en-GB"/>
        </w:rPr>
        <w:t>For the purpose of</w:t>
      </w:r>
      <w:proofErr w:type="gramEnd"/>
      <w:r w:rsidR="009A55B6">
        <w:rPr>
          <w:lang w:val="en-GB"/>
        </w:rPr>
        <w:t xml:space="preserve"> CSRD reporting, we recommend every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980" w14:textId="77777777" w:rsidR="00487F7C" w:rsidRDefault="00487F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78D0BB0F" w:rsidR="00C955CD" w:rsidRPr="00487F7C" w:rsidRDefault="00C955CD" w:rsidP="00487F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CA3"/>
    <w:multiLevelType w:val="hybridMultilevel"/>
    <w:tmpl w:val="96723E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805DE3"/>
    <w:multiLevelType w:val="hybridMultilevel"/>
    <w:tmpl w:val="0D70D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D23C00"/>
    <w:multiLevelType w:val="hybridMultilevel"/>
    <w:tmpl w:val="10FA8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044484"/>
    <w:multiLevelType w:val="hybridMultilevel"/>
    <w:tmpl w:val="8AD45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870ED5"/>
    <w:multiLevelType w:val="hybridMultilevel"/>
    <w:tmpl w:val="6D1C4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1D604F"/>
    <w:multiLevelType w:val="hybridMultilevel"/>
    <w:tmpl w:val="19ECF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6"/>
  </w:num>
  <w:num w:numId="2" w16cid:durableId="259142676">
    <w:abstractNumId w:val="20"/>
  </w:num>
  <w:num w:numId="3" w16cid:durableId="540481090">
    <w:abstractNumId w:val="7"/>
  </w:num>
  <w:num w:numId="4" w16cid:durableId="1315914930">
    <w:abstractNumId w:val="12"/>
  </w:num>
  <w:num w:numId="5" w16cid:durableId="1857884257">
    <w:abstractNumId w:val="19"/>
  </w:num>
  <w:num w:numId="6" w16cid:durableId="725834623">
    <w:abstractNumId w:val="16"/>
  </w:num>
  <w:num w:numId="7" w16cid:durableId="924920502">
    <w:abstractNumId w:val="17"/>
  </w:num>
  <w:num w:numId="8" w16cid:durableId="2128891497">
    <w:abstractNumId w:val="15"/>
  </w:num>
  <w:num w:numId="9" w16cid:durableId="1203638999">
    <w:abstractNumId w:val="2"/>
  </w:num>
  <w:num w:numId="10" w16cid:durableId="1371151480">
    <w:abstractNumId w:val="14"/>
  </w:num>
  <w:num w:numId="11" w16cid:durableId="500853613">
    <w:abstractNumId w:val="5"/>
  </w:num>
  <w:num w:numId="12" w16cid:durableId="588348897">
    <w:abstractNumId w:val="3"/>
  </w:num>
  <w:num w:numId="13" w16cid:durableId="1514875040">
    <w:abstractNumId w:val="13"/>
  </w:num>
  <w:num w:numId="14" w16cid:durableId="1645312666">
    <w:abstractNumId w:val="11"/>
  </w:num>
  <w:num w:numId="15" w16cid:durableId="81950812">
    <w:abstractNumId w:val="10"/>
  </w:num>
  <w:num w:numId="16" w16cid:durableId="40980269">
    <w:abstractNumId w:val="8"/>
  </w:num>
  <w:num w:numId="17" w16cid:durableId="93215400">
    <w:abstractNumId w:val="9"/>
  </w:num>
  <w:num w:numId="18" w16cid:durableId="110100689">
    <w:abstractNumId w:val="0"/>
  </w:num>
  <w:num w:numId="19" w16cid:durableId="63070527">
    <w:abstractNumId w:val="4"/>
  </w:num>
  <w:num w:numId="20" w16cid:durableId="1786070804">
    <w:abstractNumId w:val="1"/>
  </w:num>
  <w:num w:numId="21" w16cid:durableId="43490674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1EF9"/>
    <w:rsid w:val="0000204E"/>
    <w:rsid w:val="00007748"/>
    <w:rsid w:val="00011377"/>
    <w:rsid w:val="00013859"/>
    <w:rsid w:val="00013D62"/>
    <w:rsid w:val="00013FE3"/>
    <w:rsid w:val="00014F65"/>
    <w:rsid w:val="000202D7"/>
    <w:rsid w:val="0002104A"/>
    <w:rsid w:val="00024ACA"/>
    <w:rsid w:val="00026B46"/>
    <w:rsid w:val="00030AC6"/>
    <w:rsid w:val="00030F33"/>
    <w:rsid w:val="000339A1"/>
    <w:rsid w:val="00033DCC"/>
    <w:rsid w:val="0003571D"/>
    <w:rsid w:val="00044FF3"/>
    <w:rsid w:val="00050665"/>
    <w:rsid w:val="0005368C"/>
    <w:rsid w:val="000572A3"/>
    <w:rsid w:val="00062507"/>
    <w:rsid w:val="00063C44"/>
    <w:rsid w:val="000738A8"/>
    <w:rsid w:val="0007486B"/>
    <w:rsid w:val="00074A23"/>
    <w:rsid w:val="00075394"/>
    <w:rsid w:val="000755E0"/>
    <w:rsid w:val="00077321"/>
    <w:rsid w:val="00077A0F"/>
    <w:rsid w:val="00085EEB"/>
    <w:rsid w:val="0008664A"/>
    <w:rsid w:val="0009060A"/>
    <w:rsid w:val="00091B7E"/>
    <w:rsid w:val="0009331E"/>
    <w:rsid w:val="00094ED6"/>
    <w:rsid w:val="000A237A"/>
    <w:rsid w:val="000A47B5"/>
    <w:rsid w:val="000A5502"/>
    <w:rsid w:val="000A7284"/>
    <w:rsid w:val="000B0C7C"/>
    <w:rsid w:val="000B0F52"/>
    <w:rsid w:val="000B2E93"/>
    <w:rsid w:val="000B397F"/>
    <w:rsid w:val="000B56BC"/>
    <w:rsid w:val="000B71CF"/>
    <w:rsid w:val="000C205C"/>
    <w:rsid w:val="000C5362"/>
    <w:rsid w:val="000C566F"/>
    <w:rsid w:val="000C594A"/>
    <w:rsid w:val="000D3D8F"/>
    <w:rsid w:val="000D5054"/>
    <w:rsid w:val="000E1097"/>
    <w:rsid w:val="000F017B"/>
    <w:rsid w:val="000F16AF"/>
    <w:rsid w:val="000F37A5"/>
    <w:rsid w:val="000F3F71"/>
    <w:rsid w:val="000F5C7D"/>
    <w:rsid w:val="000F6017"/>
    <w:rsid w:val="000F6DB8"/>
    <w:rsid w:val="00101E68"/>
    <w:rsid w:val="00101F22"/>
    <w:rsid w:val="0010264E"/>
    <w:rsid w:val="001049BF"/>
    <w:rsid w:val="00104B5C"/>
    <w:rsid w:val="0010668F"/>
    <w:rsid w:val="00113647"/>
    <w:rsid w:val="001148E6"/>
    <w:rsid w:val="00114F55"/>
    <w:rsid w:val="0011582B"/>
    <w:rsid w:val="001164D8"/>
    <w:rsid w:val="00124292"/>
    <w:rsid w:val="0012452B"/>
    <w:rsid w:val="00126EEE"/>
    <w:rsid w:val="0012726F"/>
    <w:rsid w:val="0013206A"/>
    <w:rsid w:val="00132462"/>
    <w:rsid w:val="001333D0"/>
    <w:rsid w:val="001334CA"/>
    <w:rsid w:val="00140301"/>
    <w:rsid w:val="00141021"/>
    <w:rsid w:val="001419E5"/>
    <w:rsid w:val="001422AF"/>
    <w:rsid w:val="00151751"/>
    <w:rsid w:val="001519B9"/>
    <w:rsid w:val="00153C13"/>
    <w:rsid w:val="00162F01"/>
    <w:rsid w:val="001654C7"/>
    <w:rsid w:val="00172301"/>
    <w:rsid w:val="00172D65"/>
    <w:rsid w:val="00176765"/>
    <w:rsid w:val="001767BB"/>
    <w:rsid w:val="00177A3F"/>
    <w:rsid w:val="00182938"/>
    <w:rsid w:val="00182D09"/>
    <w:rsid w:val="00197729"/>
    <w:rsid w:val="001A43DC"/>
    <w:rsid w:val="001A444C"/>
    <w:rsid w:val="001A7081"/>
    <w:rsid w:val="001B4CF6"/>
    <w:rsid w:val="001B7028"/>
    <w:rsid w:val="001C0666"/>
    <w:rsid w:val="001C0A9B"/>
    <w:rsid w:val="001C3811"/>
    <w:rsid w:val="001C45AE"/>
    <w:rsid w:val="001C5872"/>
    <w:rsid w:val="001C5CCE"/>
    <w:rsid w:val="001D5078"/>
    <w:rsid w:val="001D5AA8"/>
    <w:rsid w:val="001E32A6"/>
    <w:rsid w:val="001E3DE0"/>
    <w:rsid w:val="001E5302"/>
    <w:rsid w:val="001E6786"/>
    <w:rsid w:val="001E6BF6"/>
    <w:rsid w:val="001F4E72"/>
    <w:rsid w:val="002002AD"/>
    <w:rsid w:val="00201F1F"/>
    <w:rsid w:val="00203217"/>
    <w:rsid w:val="00213F0F"/>
    <w:rsid w:val="0021582A"/>
    <w:rsid w:val="00220EE3"/>
    <w:rsid w:val="00224944"/>
    <w:rsid w:val="00224B58"/>
    <w:rsid w:val="0023053E"/>
    <w:rsid w:val="0023090B"/>
    <w:rsid w:val="00231D73"/>
    <w:rsid w:val="00234430"/>
    <w:rsid w:val="00241200"/>
    <w:rsid w:val="0024327D"/>
    <w:rsid w:val="00246F58"/>
    <w:rsid w:val="00250020"/>
    <w:rsid w:val="00251CD4"/>
    <w:rsid w:val="002522CD"/>
    <w:rsid w:val="002556BA"/>
    <w:rsid w:val="00255EF9"/>
    <w:rsid w:val="00260420"/>
    <w:rsid w:val="0026264B"/>
    <w:rsid w:val="002663E0"/>
    <w:rsid w:val="00276160"/>
    <w:rsid w:val="00276F4B"/>
    <w:rsid w:val="002864B1"/>
    <w:rsid w:val="00291A2F"/>
    <w:rsid w:val="00293032"/>
    <w:rsid w:val="002933DC"/>
    <w:rsid w:val="002A09D2"/>
    <w:rsid w:val="002A319B"/>
    <w:rsid w:val="002A382B"/>
    <w:rsid w:val="002A4635"/>
    <w:rsid w:val="002A6E45"/>
    <w:rsid w:val="002A7075"/>
    <w:rsid w:val="002B0B5F"/>
    <w:rsid w:val="002B3A43"/>
    <w:rsid w:val="002B48E5"/>
    <w:rsid w:val="002C0773"/>
    <w:rsid w:val="002C2B5E"/>
    <w:rsid w:val="002C58B8"/>
    <w:rsid w:val="002D103B"/>
    <w:rsid w:val="002D2A51"/>
    <w:rsid w:val="002D4E63"/>
    <w:rsid w:val="002D7090"/>
    <w:rsid w:val="002E2E20"/>
    <w:rsid w:val="002E5E68"/>
    <w:rsid w:val="002F0A0D"/>
    <w:rsid w:val="002F0D5E"/>
    <w:rsid w:val="002F1336"/>
    <w:rsid w:val="002F1A45"/>
    <w:rsid w:val="002F3EE8"/>
    <w:rsid w:val="002F533B"/>
    <w:rsid w:val="002F7BDF"/>
    <w:rsid w:val="003006F2"/>
    <w:rsid w:val="00301374"/>
    <w:rsid w:val="00301CFF"/>
    <w:rsid w:val="003037E7"/>
    <w:rsid w:val="0030410D"/>
    <w:rsid w:val="00306C7A"/>
    <w:rsid w:val="00306F42"/>
    <w:rsid w:val="00312A3B"/>
    <w:rsid w:val="0031410A"/>
    <w:rsid w:val="00315970"/>
    <w:rsid w:val="00324705"/>
    <w:rsid w:val="00324AFA"/>
    <w:rsid w:val="003260EA"/>
    <w:rsid w:val="003268BE"/>
    <w:rsid w:val="003407F1"/>
    <w:rsid w:val="003416F8"/>
    <w:rsid w:val="0034629E"/>
    <w:rsid w:val="003504E3"/>
    <w:rsid w:val="00364C75"/>
    <w:rsid w:val="00367FB1"/>
    <w:rsid w:val="003707A1"/>
    <w:rsid w:val="00371F8F"/>
    <w:rsid w:val="00372EDB"/>
    <w:rsid w:val="003824F8"/>
    <w:rsid w:val="003870B6"/>
    <w:rsid w:val="00387541"/>
    <w:rsid w:val="003901EF"/>
    <w:rsid w:val="003935C6"/>
    <w:rsid w:val="00394E6F"/>
    <w:rsid w:val="00395CF8"/>
    <w:rsid w:val="003A322D"/>
    <w:rsid w:val="003A3E88"/>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E7FFD"/>
    <w:rsid w:val="003F2896"/>
    <w:rsid w:val="003F5E81"/>
    <w:rsid w:val="003F6143"/>
    <w:rsid w:val="004007DD"/>
    <w:rsid w:val="00402056"/>
    <w:rsid w:val="00405CDB"/>
    <w:rsid w:val="004065ED"/>
    <w:rsid w:val="00413137"/>
    <w:rsid w:val="00417D92"/>
    <w:rsid w:val="004205C5"/>
    <w:rsid w:val="00421470"/>
    <w:rsid w:val="00421903"/>
    <w:rsid w:val="004237D7"/>
    <w:rsid w:val="00430443"/>
    <w:rsid w:val="004315EC"/>
    <w:rsid w:val="004329B5"/>
    <w:rsid w:val="00435A45"/>
    <w:rsid w:val="004528A9"/>
    <w:rsid w:val="0046568F"/>
    <w:rsid w:val="00466BE5"/>
    <w:rsid w:val="004678A9"/>
    <w:rsid w:val="0047172E"/>
    <w:rsid w:val="0047353B"/>
    <w:rsid w:val="0047549F"/>
    <w:rsid w:val="00476C2A"/>
    <w:rsid w:val="0047707A"/>
    <w:rsid w:val="004772C9"/>
    <w:rsid w:val="00481F99"/>
    <w:rsid w:val="00482AA5"/>
    <w:rsid w:val="004841E3"/>
    <w:rsid w:val="00485126"/>
    <w:rsid w:val="0048587F"/>
    <w:rsid w:val="00485E74"/>
    <w:rsid w:val="00487F7C"/>
    <w:rsid w:val="00495F9F"/>
    <w:rsid w:val="004973C4"/>
    <w:rsid w:val="004979CD"/>
    <w:rsid w:val="004A22CD"/>
    <w:rsid w:val="004A32B8"/>
    <w:rsid w:val="004A7220"/>
    <w:rsid w:val="004B3B60"/>
    <w:rsid w:val="004B47CE"/>
    <w:rsid w:val="004B7D6A"/>
    <w:rsid w:val="004C7AEF"/>
    <w:rsid w:val="004D19B3"/>
    <w:rsid w:val="004D1B5A"/>
    <w:rsid w:val="004D2F6D"/>
    <w:rsid w:val="004D4345"/>
    <w:rsid w:val="004D471A"/>
    <w:rsid w:val="004D66E8"/>
    <w:rsid w:val="004D6F88"/>
    <w:rsid w:val="004E1F27"/>
    <w:rsid w:val="004E6311"/>
    <w:rsid w:val="004F01CD"/>
    <w:rsid w:val="004F01E9"/>
    <w:rsid w:val="004F1735"/>
    <w:rsid w:val="004F57D0"/>
    <w:rsid w:val="004F66F1"/>
    <w:rsid w:val="00503458"/>
    <w:rsid w:val="0050347F"/>
    <w:rsid w:val="00503CA0"/>
    <w:rsid w:val="00512E38"/>
    <w:rsid w:val="00513680"/>
    <w:rsid w:val="0051748A"/>
    <w:rsid w:val="00527D9C"/>
    <w:rsid w:val="00531BF9"/>
    <w:rsid w:val="005417B6"/>
    <w:rsid w:val="00543DA3"/>
    <w:rsid w:val="00552A59"/>
    <w:rsid w:val="00556041"/>
    <w:rsid w:val="00556A4B"/>
    <w:rsid w:val="0056094E"/>
    <w:rsid w:val="005609CA"/>
    <w:rsid w:val="00561C13"/>
    <w:rsid w:val="0056240B"/>
    <w:rsid w:val="00562CA4"/>
    <w:rsid w:val="00566170"/>
    <w:rsid w:val="005663E4"/>
    <w:rsid w:val="00574231"/>
    <w:rsid w:val="0057454B"/>
    <w:rsid w:val="00575575"/>
    <w:rsid w:val="00582367"/>
    <w:rsid w:val="00587CAD"/>
    <w:rsid w:val="005916AB"/>
    <w:rsid w:val="00591BD5"/>
    <w:rsid w:val="00592B31"/>
    <w:rsid w:val="00593B2F"/>
    <w:rsid w:val="00594F4A"/>
    <w:rsid w:val="005953DB"/>
    <w:rsid w:val="005A15F3"/>
    <w:rsid w:val="005A2A60"/>
    <w:rsid w:val="005A4065"/>
    <w:rsid w:val="005A6B9E"/>
    <w:rsid w:val="005A6DBE"/>
    <w:rsid w:val="005B13C1"/>
    <w:rsid w:val="005B6C0B"/>
    <w:rsid w:val="005D382B"/>
    <w:rsid w:val="005D4A5C"/>
    <w:rsid w:val="005E212C"/>
    <w:rsid w:val="005E725B"/>
    <w:rsid w:val="005F665F"/>
    <w:rsid w:val="006004DC"/>
    <w:rsid w:val="006010B4"/>
    <w:rsid w:val="00602B81"/>
    <w:rsid w:val="006060FB"/>
    <w:rsid w:val="00610E72"/>
    <w:rsid w:val="00612FD4"/>
    <w:rsid w:val="006134FB"/>
    <w:rsid w:val="00614842"/>
    <w:rsid w:val="006210E4"/>
    <w:rsid w:val="006213FC"/>
    <w:rsid w:val="00624025"/>
    <w:rsid w:val="00630C03"/>
    <w:rsid w:val="00635671"/>
    <w:rsid w:val="0063640E"/>
    <w:rsid w:val="00641CFF"/>
    <w:rsid w:val="00642356"/>
    <w:rsid w:val="00654CAF"/>
    <w:rsid w:val="00656A31"/>
    <w:rsid w:val="00662E37"/>
    <w:rsid w:val="006675D1"/>
    <w:rsid w:val="0066768D"/>
    <w:rsid w:val="00667C9A"/>
    <w:rsid w:val="00671D17"/>
    <w:rsid w:val="00673D6E"/>
    <w:rsid w:val="00675AC6"/>
    <w:rsid w:val="00675B62"/>
    <w:rsid w:val="00680D63"/>
    <w:rsid w:val="00680DEC"/>
    <w:rsid w:val="006818A8"/>
    <w:rsid w:val="0068253F"/>
    <w:rsid w:val="00685DE6"/>
    <w:rsid w:val="00690118"/>
    <w:rsid w:val="0069209D"/>
    <w:rsid w:val="00694579"/>
    <w:rsid w:val="006946B6"/>
    <w:rsid w:val="006A098A"/>
    <w:rsid w:val="006A2281"/>
    <w:rsid w:val="006A27D3"/>
    <w:rsid w:val="006B20D9"/>
    <w:rsid w:val="006B7677"/>
    <w:rsid w:val="006C13FF"/>
    <w:rsid w:val="006C2DA9"/>
    <w:rsid w:val="006C6F31"/>
    <w:rsid w:val="006C74A6"/>
    <w:rsid w:val="006D27AC"/>
    <w:rsid w:val="006D55C5"/>
    <w:rsid w:val="006D7894"/>
    <w:rsid w:val="006E62D9"/>
    <w:rsid w:val="006F0404"/>
    <w:rsid w:val="006F61EA"/>
    <w:rsid w:val="006F62D7"/>
    <w:rsid w:val="0070038D"/>
    <w:rsid w:val="00703B8D"/>
    <w:rsid w:val="00707D2D"/>
    <w:rsid w:val="00716C9F"/>
    <w:rsid w:val="007171B1"/>
    <w:rsid w:val="0071794B"/>
    <w:rsid w:val="00717BBC"/>
    <w:rsid w:val="00725465"/>
    <w:rsid w:val="007262DE"/>
    <w:rsid w:val="00727485"/>
    <w:rsid w:val="00732A41"/>
    <w:rsid w:val="00734822"/>
    <w:rsid w:val="00740590"/>
    <w:rsid w:val="00746AC5"/>
    <w:rsid w:val="0074753B"/>
    <w:rsid w:val="00752C8C"/>
    <w:rsid w:val="0075338D"/>
    <w:rsid w:val="0075478A"/>
    <w:rsid w:val="00760DDA"/>
    <w:rsid w:val="0078021B"/>
    <w:rsid w:val="007806F9"/>
    <w:rsid w:val="00781545"/>
    <w:rsid w:val="00782402"/>
    <w:rsid w:val="00786328"/>
    <w:rsid w:val="00792A6F"/>
    <w:rsid w:val="00794D7D"/>
    <w:rsid w:val="007963DA"/>
    <w:rsid w:val="00796ED6"/>
    <w:rsid w:val="007A0AA2"/>
    <w:rsid w:val="007A634B"/>
    <w:rsid w:val="007A797C"/>
    <w:rsid w:val="007C1AA6"/>
    <w:rsid w:val="007C68F8"/>
    <w:rsid w:val="007D1FE7"/>
    <w:rsid w:val="007D4FB8"/>
    <w:rsid w:val="007E1284"/>
    <w:rsid w:val="007E6361"/>
    <w:rsid w:val="007E7052"/>
    <w:rsid w:val="007F1E24"/>
    <w:rsid w:val="007F6197"/>
    <w:rsid w:val="00803B84"/>
    <w:rsid w:val="00804048"/>
    <w:rsid w:val="00804ED5"/>
    <w:rsid w:val="0080758C"/>
    <w:rsid w:val="00810CD2"/>
    <w:rsid w:val="008119E3"/>
    <w:rsid w:val="0081341E"/>
    <w:rsid w:val="00813E3C"/>
    <w:rsid w:val="00824086"/>
    <w:rsid w:val="00824E36"/>
    <w:rsid w:val="00835F83"/>
    <w:rsid w:val="00836837"/>
    <w:rsid w:val="00837AB9"/>
    <w:rsid w:val="00844690"/>
    <w:rsid w:val="00845674"/>
    <w:rsid w:val="00851F8B"/>
    <w:rsid w:val="008765E0"/>
    <w:rsid w:val="00876AFC"/>
    <w:rsid w:val="008828D4"/>
    <w:rsid w:val="0088474B"/>
    <w:rsid w:val="00884FE4"/>
    <w:rsid w:val="00886F43"/>
    <w:rsid w:val="00887639"/>
    <w:rsid w:val="0089092B"/>
    <w:rsid w:val="008913BE"/>
    <w:rsid w:val="0089237C"/>
    <w:rsid w:val="00893227"/>
    <w:rsid w:val="008A1AAA"/>
    <w:rsid w:val="008A5B63"/>
    <w:rsid w:val="008A6A6B"/>
    <w:rsid w:val="008B300E"/>
    <w:rsid w:val="008B61B3"/>
    <w:rsid w:val="008B77BD"/>
    <w:rsid w:val="008B7933"/>
    <w:rsid w:val="008C27FB"/>
    <w:rsid w:val="008D4EAE"/>
    <w:rsid w:val="008E00BD"/>
    <w:rsid w:val="008E4DE3"/>
    <w:rsid w:val="008F35CE"/>
    <w:rsid w:val="008F5032"/>
    <w:rsid w:val="009001B2"/>
    <w:rsid w:val="00902BD1"/>
    <w:rsid w:val="00910D07"/>
    <w:rsid w:val="00915FE6"/>
    <w:rsid w:val="009173EB"/>
    <w:rsid w:val="0092283B"/>
    <w:rsid w:val="00924F36"/>
    <w:rsid w:val="009314A8"/>
    <w:rsid w:val="00936653"/>
    <w:rsid w:val="009417C9"/>
    <w:rsid w:val="00957836"/>
    <w:rsid w:val="009637D0"/>
    <w:rsid w:val="00967874"/>
    <w:rsid w:val="00967B34"/>
    <w:rsid w:val="00971151"/>
    <w:rsid w:val="0097197D"/>
    <w:rsid w:val="0097229C"/>
    <w:rsid w:val="009745D5"/>
    <w:rsid w:val="009753AD"/>
    <w:rsid w:val="00982F99"/>
    <w:rsid w:val="00985D86"/>
    <w:rsid w:val="00986F89"/>
    <w:rsid w:val="009873CE"/>
    <w:rsid w:val="009915C2"/>
    <w:rsid w:val="00991DD6"/>
    <w:rsid w:val="0099340B"/>
    <w:rsid w:val="00994419"/>
    <w:rsid w:val="009951EB"/>
    <w:rsid w:val="009A0B10"/>
    <w:rsid w:val="009A1265"/>
    <w:rsid w:val="009A12D6"/>
    <w:rsid w:val="009A3E15"/>
    <w:rsid w:val="009A55B6"/>
    <w:rsid w:val="009B1697"/>
    <w:rsid w:val="009B332F"/>
    <w:rsid w:val="009C4C62"/>
    <w:rsid w:val="009D2658"/>
    <w:rsid w:val="009D33F3"/>
    <w:rsid w:val="009D4F18"/>
    <w:rsid w:val="009D76F3"/>
    <w:rsid w:val="009D7DAE"/>
    <w:rsid w:val="009E0E96"/>
    <w:rsid w:val="009E49A7"/>
    <w:rsid w:val="009E79A3"/>
    <w:rsid w:val="009F05F2"/>
    <w:rsid w:val="009F196D"/>
    <w:rsid w:val="009F4C0B"/>
    <w:rsid w:val="009F6602"/>
    <w:rsid w:val="009F6E27"/>
    <w:rsid w:val="009F7648"/>
    <w:rsid w:val="00A005EF"/>
    <w:rsid w:val="00A012D0"/>
    <w:rsid w:val="00A01DCC"/>
    <w:rsid w:val="00A05F79"/>
    <w:rsid w:val="00A074A2"/>
    <w:rsid w:val="00A15B78"/>
    <w:rsid w:val="00A204BC"/>
    <w:rsid w:val="00A20608"/>
    <w:rsid w:val="00A22F72"/>
    <w:rsid w:val="00A273F5"/>
    <w:rsid w:val="00A306AC"/>
    <w:rsid w:val="00A30AAE"/>
    <w:rsid w:val="00A36B30"/>
    <w:rsid w:val="00A41589"/>
    <w:rsid w:val="00A425F7"/>
    <w:rsid w:val="00A47EC3"/>
    <w:rsid w:val="00A50A19"/>
    <w:rsid w:val="00A50CF2"/>
    <w:rsid w:val="00A50E60"/>
    <w:rsid w:val="00A50FAA"/>
    <w:rsid w:val="00A5274F"/>
    <w:rsid w:val="00A63333"/>
    <w:rsid w:val="00A64B38"/>
    <w:rsid w:val="00A724AD"/>
    <w:rsid w:val="00A74BA7"/>
    <w:rsid w:val="00A826FC"/>
    <w:rsid w:val="00A845F4"/>
    <w:rsid w:val="00A904BF"/>
    <w:rsid w:val="00A970EC"/>
    <w:rsid w:val="00AA1281"/>
    <w:rsid w:val="00AA1656"/>
    <w:rsid w:val="00AB12EA"/>
    <w:rsid w:val="00AB34FD"/>
    <w:rsid w:val="00AB6D90"/>
    <w:rsid w:val="00AB7C2A"/>
    <w:rsid w:val="00AC088F"/>
    <w:rsid w:val="00AC2072"/>
    <w:rsid w:val="00AC75E0"/>
    <w:rsid w:val="00AD0095"/>
    <w:rsid w:val="00AD2A8C"/>
    <w:rsid w:val="00AD7513"/>
    <w:rsid w:val="00AE35BB"/>
    <w:rsid w:val="00AE3B8B"/>
    <w:rsid w:val="00AE6E31"/>
    <w:rsid w:val="00AF5095"/>
    <w:rsid w:val="00AF514E"/>
    <w:rsid w:val="00AF71CF"/>
    <w:rsid w:val="00AF7B18"/>
    <w:rsid w:val="00B00AFB"/>
    <w:rsid w:val="00B15799"/>
    <w:rsid w:val="00B20009"/>
    <w:rsid w:val="00B20856"/>
    <w:rsid w:val="00B227AD"/>
    <w:rsid w:val="00B231F5"/>
    <w:rsid w:val="00B2554D"/>
    <w:rsid w:val="00B2607B"/>
    <w:rsid w:val="00B26630"/>
    <w:rsid w:val="00B27362"/>
    <w:rsid w:val="00B3335D"/>
    <w:rsid w:val="00B352E3"/>
    <w:rsid w:val="00B37B4B"/>
    <w:rsid w:val="00B4328E"/>
    <w:rsid w:val="00B5006B"/>
    <w:rsid w:val="00B51A67"/>
    <w:rsid w:val="00B5226F"/>
    <w:rsid w:val="00B551E4"/>
    <w:rsid w:val="00B6110E"/>
    <w:rsid w:val="00B61F24"/>
    <w:rsid w:val="00B621CF"/>
    <w:rsid w:val="00B6234D"/>
    <w:rsid w:val="00B6262A"/>
    <w:rsid w:val="00B72C7A"/>
    <w:rsid w:val="00B7789D"/>
    <w:rsid w:val="00B87A0F"/>
    <w:rsid w:val="00B9010F"/>
    <w:rsid w:val="00B941DC"/>
    <w:rsid w:val="00B95A44"/>
    <w:rsid w:val="00BA20BC"/>
    <w:rsid w:val="00BA630E"/>
    <w:rsid w:val="00BB097C"/>
    <w:rsid w:val="00BB1D0D"/>
    <w:rsid w:val="00BB271D"/>
    <w:rsid w:val="00BB4E11"/>
    <w:rsid w:val="00BC0D47"/>
    <w:rsid w:val="00BC1EEE"/>
    <w:rsid w:val="00BC4B31"/>
    <w:rsid w:val="00BC4F2A"/>
    <w:rsid w:val="00BC55AC"/>
    <w:rsid w:val="00BD11CB"/>
    <w:rsid w:val="00BD3AF2"/>
    <w:rsid w:val="00BD4DC3"/>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0395"/>
    <w:rsid w:val="00C12C0E"/>
    <w:rsid w:val="00C13511"/>
    <w:rsid w:val="00C13831"/>
    <w:rsid w:val="00C16332"/>
    <w:rsid w:val="00C163C9"/>
    <w:rsid w:val="00C223FA"/>
    <w:rsid w:val="00C23B59"/>
    <w:rsid w:val="00C25840"/>
    <w:rsid w:val="00C26C36"/>
    <w:rsid w:val="00C2718F"/>
    <w:rsid w:val="00C30A48"/>
    <w:rsid w:val="00C31445"/>
    <w:rsid w:val="00C35477"/>
    <w:rsid w:val="00C36F49"/>
    <w:rsid w:val="00C44798"/>
    <w:rsid w:val="00C4642D"/>
    <w:rsid w:val="00C560DB"/>
    <w:rsid w:val="00C60CDF"/>
    <w:rsid w:val="00C61222"/>
    <w:rsid w:val="00C672BB"/>
    <w:rsid w:val="00C713BA"/>
    <w:rsid w:val="00C7155F"/>
    <w:rsid w:val="00C71607"/>
    <w:rsid w:val="00C750A2"/>
    <w:rsid w:val="00C76883"/>
    <w:rsid w:val="00C76969"/>
    <w:rsid w:val="00C76CD0"/>
    <w:rsid w:val="00C77044"/>
    <w:rsid w:val="00C955CD"/>
    <w:rsid w:val="00C972F7"/>
    <w:rsid w:val="00C975E3"/>
    <w:rsid w:val="00CA02AD"/>
    <w:rsid w:val="00CA3FB5"/>
    <w:rsid w:val="00CA51EC"/>
    <w:rsid w:val="00CB5833"/>
    <w:rsid w:val="00CB5CB3"/>
    <w:rsid w:val="00CC1483"/>
    <w:rsid w:val="00CC2E0F"/>
    <w:rsid w:val="00CD2361"/>
    <w:rsid w:val="00CD3DBA"/>
    <w:rsid w:val="00CD68E0"/>
    <w:rsid w:val="00CE07B9"/>
    <w:rsid w:val="00CE1858"/>
    <w:rsid w:val="00CE4776"/>
    <w:rsid w:val="00CF4935"/>
    <w:rsid w:val="00CF63C0"/>
    <w:rsid w:val="00D015ED"/>
    <w:rsid w:val="00D019E6"/>
    <w:rsid w:val="00D16D5A"/>
    <w:rsid w:val="00D25664"/>
    <w:rsid w:val="00D259E2"/>
    <w:rsid w:val="00D25BD9"/>
    <w:rsid w:val="00D26374"/>
    <w:rsid w:val="00D264AF"/>
    <w:rsid w:val="00D30BDD"/>
    <w:rsid w:val="00D33341"/>
    <w:rsid w:val="00D33F3C"/>
    <w:rsid w:val="00D34972"/>
    <w:rsid w:val="00D40986"/>
    <w:rsid w:val="00D43D78"/>
    <w:rsid w:val="00D44E60"/>
    <w:rsid w:val="00D53FCE"/>
    <w:rsid w:val="00D56777"/>
    <w:rsid w:val="00D57D49"/>
    <w:rsid w:val="00D633F2"/>
    <w:rsid w:val="00D6677F"/>
    <w:rsid w:val="00D67960"/>
    <w:rsid w:val="00D7063D"/>
    <w:rsid w:val="00D74070"/>
    <w:rsid w:val="00D74ABF"/>
    <w:rsid w:val="00D808F9"/>
    <w:rsid w:val="00D85287"/>
    <w:rsid w:val="00D85B7B"/>
    <w:rsid w:val="00D877AF"/>
    <w:rsid w:val="00D958EA"/>
    <w:rsid w:val="00D9593B"/>
    <w:rsid w:val="00D97752"/>
    <w:rsid w:val="00DA0680"/>
    <w:rsid w:val="00DA2BB3"/>
    <w:rsid w:val="00DA47C5"/>
    <w:rsid w:val="00DB3221"/>
    <w:rsid w:val="00DB492D"/>
    <w:rsid w:val="00DB6CCB"/>
    <w:rsid w:val="00DC0647"/>
    <w:rsid w:val="00DC2F26"/>
    <w:rsid w:val="00DC5284"/>
    <w:rsid w:val="00DC5787"/>
    <w:rsid w:val="00DC5804"/>
    <w:rsid w:val="00DC7A64"/>
    <w:rsid w:val="00DD2B5A"/>
    <w:rsid w:val="00DD3469"/>
    <w:rsid w:val="00DD6602"/>
    <w:rsid w:val="00DD6913"/>
    <w:rsid w:val="00DD7FD7"/>
    <w:rsid w:val="00DE1280"/>
    <w:rsid w:val="00DE7044"/>
    <w:rsid w:val="00DF2364"/>
    <w:rsid w:val="00DF680E"/>
    <w:rsid w:val="00E0053D"/>
    <w:rsid w:val="00E00E64"/>
    <w:rsid w:val="00E061D4"/>
    <w:rsid w:val="00E07485"/>
    <w:rsid w:val="00E07F0D"/>
    <w:rsid w:val="00E11435"/>
    <w:rsid w:val="00E118AA"/>
    <w:rsid w:val="00E121F3"/>
    <w:rsid w:val="00E126DE"/>
    <w:rsid w:val="00E13C85"/>
    <w:rsid w:val="00E146E5"/>
    <w:rsid w:val="00E14B9E"/>
    <w:rsid w:val="00E21603"/>
    <w:rsid w:val="00E2336F"/>
    <w:rsid w:val="00E23B8F"/>
    <w:rsid w:val="00E25B40"/>
    <w:rsid w:val="00E305F6"/>
    <w:rsid w:val="00E322F6"/>
    <w:rsid w:val="00E33721"/>
    <w:rsid w:val="00E33F45"/>
    <w:rsid w:val="00E354D8"/>
    <w:rsid w:val="00E42B21"/>
    <w:rsid w:val="00E44274"/>
    <w:rsid w:val="00E50811"/>
    <w:rsid w:val="00E625BB"/>
    <w:rsid w:val="00E638D4"/>
    <w:rsid w:val="00E653A2"/>
    <w:rsid w:val="00E65FCC"/>
    <w:rsid w:val="00E66092"/>
    <w:rsid w:val="00E70DA3"/>
    <w:rsid w:val="00E71FBA"/>
    <w:rsid w:val="00E823C7"/>
    <w:rsid w:val="00E846B3"/>
    <w:rsid w:val="00E84DE1"/>
    <w:rsid w:val="00E9414E"/>
    <w:rsid w:val="00E95B4C"/>
    <w:rsid w:val="00E97818"/>
    <w:rsid w:val="00EA0134"/>
    <w:rsid w:val="00EA1E9B"/>
    <w:rsid w:val="00EA46CB"/>
    <w:rsid w:val="00EA69E4"/>
    <w:rsid w:val="00EB18CC"/>
    <w:rsid w:val="00EB2540"/>
    <w:rsid w:val="00EB300B"/>
    <w:rsid w:val="00EB412C"/>
    <w:rsid w:val="00EC30E1"/>
    <w:rsid w:val="00EC52DE"/>
    <w:rsid w:val="00EC62B7"/>
    <w:rsid w:val="00EC62D0"/>
    <w:rsid w:val="00EC6B76"/>
    <w:rsid w:val="00EC7BD1"/>
    <w:rsid w:val="00EC7C41"/>
    <w:rsid w:val="00ED2C23"/>
    <w:rsid w:val="00ED37B4"/>
    <w:rsid w:val="00ED45DB"/>
    <w:rsid w:val="00ED6CE4"/>
    <w:rsid w:val="00ED6FE0"/>
    <w:rsid w:val="00EE231F"/>
    <w:rsid w:val="00EE2BC1"/>
    <w:rsid w:val="00EF015F"/>
    <w:rsid w:val="00EF1336"/>
    <w:rsid w:val="00EF3DB3"/>
    <w:rsid w:val="00EF63CA"/>
    <w:rsid w:val="00F0378D"/>
    <w:rsid w:val="00F06980"/>
    <w:rsid w:val="00F06A29"/>
    <w:rsid w:val="00F1151E"/>
    <w:rsid w:val="00F15865"/>
    <w:rsid w:val="00F20EAC"/>
    <w:rsid w:val="00F20F0B"/>
    <w:rsid w:val="00F21BC4"/>
    <w:rsid w:val="00F245B3"/>
    <w:rsid w:val="00F265D5"/>
    <w:rsid w:val="00F272F4"/>
    <w:rsid w:val="00F308E6"/>
    <w:rsid w:val="00F35368"/>
    <w:rsid w:val="00F40039"/>
    <w:rsid w:val="00F40397"/>
    <w:rsid w:val="00F42364"/>
    <w:rsid w:val="00F471BE"/>
    <w:rsid w:val="00F47F8B"/>
    <w:rsid w:val="00F51FC8"/>
    <w:rsid w:val="00F5271C"/>
    <w:rsid w:val="00F53AD7"/>
    <w:rsid w:val="00F5490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93B46"/>
    <w:rsid w:val="00FA0420"/>
    <w:rsid w:val="00FA1951"/>
    <w:rsid w:val="00FA6D35"/>
    <w:rsid w:val="00FB090D"/>
    <w:rsid w:val="00FB2E32"/>
    <w:rsid w:val="00FC0DBE"/>
    <w:rsid w:val="00FC4705"/>
    <w:rsid w:val="00FD1C2B"/>
    <w:rsid w:val="00FE2F2A"/>
    <w:rsid w:val="00FE4CA0"/>
    <w:rsid w:val="00FE55AC"/>
    <w:rsid w:val="00FE5C7E"/>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030AC6"/>
    <w:pPr>
      <w:keepLines/>
      <w:spacing w:after="120" w:line="240" w:lineRule="atLeast"/>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030AC6"/>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229;llbarupphandling.se/en/processkrav-4" TargetMode="External"/><Relationship Id="rId3" Type="http://schemas.openxmlformats.org/officeDocument/2006/relationships/hyperlink" Target="http://www.h&#229;llbarupphandling.se/en/processkrav-2" TargetMode="External"/><Relationship Id="rId7" Type="http://schemas.openxmlformats.org/officeDocument/2006/relationships/hyperlink" Target="http://www.h&#229;llbarupphandling.se/en/kallor" TargetMode="External"/><Relationship Id="rId2" Type="http://schemas.openxmlformats.org/officeDocument/2006/relationships/hyperlink" Target="http://www.h&#229;llbarupphandling.se/en/processkrav-2" TargetMode="External"/><Relationship Id="rId1" Type="http://schemas.openxmlformats.org/officeDocument/2006/relationships/hyperlink" Target="http://www.h&#229;llbarupphandling.se/en/processkrav-2" TargetMode="External"/><Relationship Id="rId6" Type="http://schemas.openxmlformats.org/officeDocument/2006/relationships/hyperlink" Target="http://www.h&#229;llbarupphandling.se/en/kallor" TargetMode="External"/><Relationship Id="rId11" Type="http://schemas.openxmlformats.org/officeDocument/2006/relationships/hyperlink" Target="http://www.h&#229;llbarupphandling.se/en/processkrav-6" TargetMode="External"/><Relationship Id="rId5" Type="http://schemas.openxmlformats.org/officeDocument/2006/relationships/hyperlink" Target="http://www.h&#229;llbarupphandling.se/en/kallor" TargetMode="External"/><Relationship Id="rId10" Type="http://schemas.openxmlformats.org/officeDocument/2006/relationships/hyperlink" Target="https://www.responsiblecontracting.org/" TargetMode="External"/><Relationship Id="rId4" Type="http://schemas.openxmlformats.org/officeDocument/2006/relationships/hyperlink" Target="http://www.h&#229;llbarupphandling.se/en/kallor" TargetMode="External"/><Relationship Id="rId9" Type="http://schemas.openxmlformats.org/officeDocument/2006/relationships/hyperlink" Target="https://www.responsiblecontracting.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397839-CCE3-4213-B737-090B4C9174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A07DC928-C2E0-4045-9993-C0AEECF4A856}">
      <dgm:prSet phldrT="[Text]" custT="1"/>
      <dgm:spPr>
        <a:solidFill>
          <a:srgbClr val="668097"/>
        </a:solidFill>
      </dgm:spPr>
      <dgm:t>
        <a:bodyPr/>
        <a:lstStyle/>
        <a:p>
          <a:r>
            <a:rPr lang="sv-SE" sz="800"/>
            <a:t>Chief Procurement Officer</a:t>
          </a:r>
        </a:p>
      </dgm:t>
    </dgm:pt>
    <dgm:pt modelId="{1F7C71CD-DAF0-4323-8DAD-784F594F8A66}" type="parTrans" cxnId="{C68787BC-9795-4CB4-8552-2D91494B1E3B}">
      <dgm:prSet/>
      <dgm:spPr/>
      <dgm:t>
        <a:bodyPr/>
        <a:lstStyle/>
        <a:p>
          <a:endParaRPr lang="sv-SE"/>
        </a:p>
      </dgm:t>
    </dgm:pt>
    <dgm:pt modelId="{4680FBA0-1D55-42D7-9F5C-41F7392B0FF0}" type="sibTrans" cxnId="{C68787BC-9795-4CB4-8552-2D91494B1E3B}">
      <dgm:prSet/>
      <dgm:spPr/>
      <dgm:t>
        <a:bodyPr/>
        <a:lstStyle/>
        <a:p>
          <a:endParaRPr lang="sv-SE"/>
        </a:p>
      </dgm:t>
    </dgm:pt>
    <dgm:pt modelId="{BBF0385D-5D5D-4526-A603-A4E71F767B3B}">
      <dgm:prSet phldrT="[Text]" custT="1"/>
      <dgm:spPr>
        <a:solidFill>
          <a:srgbClr val="668097"/>
        </a:solidFill>
      </dgm:spPr>
      <dgm:t>
        <a:bodyPr/>
        <a:lstStyle/>
        <a:p>
          <a:r>
            <a:rPr lang="sv-SE" sz="800"/>
            <a:t>Category Manager</a:t>
          </a:r>
        </a:p>
      </dgm:t>
    </dgm:pt>
    <dgm:pt modelId="{A63CA122-DA30-485B-920F-28F6569B2AA7}" type="parTrans" cxnId="{F94AA343-5B37-4B1C-90B4-D98B3B1E648F}">
      <dgm:prSet/>
      <dgm:spPr>
        <a:ln>
          <a:solidFill>
            <a:srgbClr val="668097"/>
          </a:solidFill>
        </a:ln>
      </dgm:spPr>
      <dgm:t>
        <a:bodyPr/>
        <a:lstStyle/>
        <a:p>
          <a:endParaRPr lang="sv-SE"/>
        </a:p>
      </dgm:t>
    </dgm:pt>
    <dgm:pt modelId="{464AB47B-1241-492F-AB20-575EB33D4204}" type="sibTrans" cxnId="{F94AA343-5B37-4B1C-90B4-D98B3B1E648F}">
      <dgm:prSet/>
      <dgm:spPr/>
      <dgm:t>
        <a:bodyPr/>
        <a:lstStyle/>
        <a:p>
          <a:endParaRPr lang="sv-SE"/>
        </a:p>
      </dgm:t>
    </dgm:pt>
    <dgm:pt modelId="{231164B3-0C1E-4A9B-9C08-A4A44ED72C63}">
      <dgm:prSet phldrT="[Text]" custT="1"/>
      <dgm:spPr>
        <a:solidFill>
          <a:srgbClr val="668097"/>
        </a:solidFill>
      </dgm:spPr>
      <dgm:t>
        <a:bodyPr/>
        <a:lstStyle/>
        <a:p>
          <a:r>
            <a:rPr lang="sv-SE" sz="800"/>
            <a:t>Procurement Manager</a:t>
          </a:r>
        </a:p>
      </dgm:t>
    </dgm:pt>
    <dgm:pt modelId="{BBD1280B-FE07-4C66-868B-1B68B99BD040}" type="parTrans" cxnId="{C7473DC9-0727-4404-99CB-F0B39356D269}">
      <dgm:prSet/>
      <dgm:spPr>
        <a:ln>
          <a:solidFill>
            <a:srgbClr val="668097"/>
          </a:solidFill>
        </a:ln>
      </dgm:spPr>
      <dgm:t>
        <a:bodyPr/>
        <a:lstStyle/>
        <a:p>
          <a:endParaRPr lang="sv-SE"/>
        </a:p>
      </dgm:t>
    </dgm:pt>
    <dgm:pt modelId="{CE2874AC-55CE-4F1F-B7FC-E7C5A154FCA0}" type="sibTrans" cxnId="{C7473DC9-0727-4404-99CB-F0B39356D269}">
      <dgm:prSet/>
      <dgm:spPr/>
      <dgm:t>
        <a:bodyPr/>
        <a:lstStyle/>
        <a:p>
          <a:endParaRPr lang="sv-SE"/>
        </a:p>
      </dgm:t>
    </dgm:pt>
    <dgm:pt modelId="{407E60D1-8132-45D7-80F0-0A891371E433}">
      <dgm:prSet phldrT="[Text]" custT="1"/>
      <dgm:spPr>
        <a:solidFill>
          <a:srgbClr val="668097"/>
        </a:solidFill>
      </dgm:spPr>
      <dgm:t>
        <a:bodyPr/>
        <a:lstStyle/>
        <a:p>
          <a:r>
            <a:rPr lang="sv-SE" sz="800"/>
            <a:t>Contract Manager</a:t>
          </a:r>
        </a:p>
      </dgm:t>
    </dgm:pt>
    <dgm:pt modelId="{B295289A-99CC-4C8D-B740-CBD6A676FF0F}" type="parTrans" cxnId="{1D017D64-E1A9-4C59-916F-98300AA54C3D}">
      <dgm:prSet/>
      <dgm:spPr>
        <a:ln>
          <a:solidFill>
            <a:srgbClr val="668097"/>
          </a:solidFill>
        </a:ln>
      </dgm:spPr>
      <dgm:t>
        <a:bodyPr/>
        <a:lstStyle/>
        <a:p>
          <a:endParaRPr lang="sv-SE"/>
        </a:p>
      </dgm:t>
    </dgm:pt>
    <dgm:pt modelId="{B10BEB62-E27F-4D0E-AF5E-8546AEEA5109}" type="sibTrans" cxnId="{1D017D64-E1A9-4C59-916F-98300AA54C3D}">
      <dgm:prSet/>
      <dgm:spPr/>
      <dgm:t>
        <a:bodyPr/>
        <a:lstStyle/>
        <a:p>
          <a:endParaRPr lang="sv-SE"/>
        </a:p>
      </dgm:t>
    </dgm:pt>
    <dgm:pt modelId="{B16B351B-F92E-434D-B2ED-71E24523BE02}">
      <dgm:prSet phldrT="[Text]" custT="1"/>
      <dgm:spPr>
        <a:solidFill>
          <a:srgbClr val="668097"/>
        </a:solidFill>
      </dgm:spPr>
      <dgm:t>
        <a:bodyPr/>
        <a:lstStyle/>
        <a:p>
          <a:r>
            <a:rPr lang="sv-SE" sz="800"/>
            <a:t>Sustainability Manager</a:t>
          </a:r>
        </a:p>
      </dgm:t>
    </dgm:pt>
    <dgm:pt modelId="{AC9B0DB9-4442-4776-B9BB-6FCCC078FBD9}" type="parTrans" cxnId="{D8234B28-22BC-48DC-B4EE-72437F8DB0E5}">
      <dgm:prSet/>
      <dgm:spPr>
        <a:ln>
          <a:solidFill>
            <a:srgbClr val="668097"/>
          </a:solidFill>
        </a:ln>
      </dgm:spPr>
      <dgm:t>
        <a:bodyPr/>
        <a:lstStyle/>
        <a:p>
          <a:endParaRPr lang="sv-SE"/>
        </a:p>
      </dgm:t>
    </dgm:pt>
    <dgm:pt modelId="{37683D7F-625C-4F53-8E58-D25AAA7E9100}" type="sibTrans" cxnId="{D8234B28-22BC-48DC-B4EE-72437F8DB0E5}">
      <dgm:prSet/>
      <dgm:spPr/>
      <dgm:t>
        <a:bodyPr/>
        <a:lstStyle/>
        <a:p>
          <a:endParaRPr lang="sv-SE"/>
        </a:p>
      </dgm:t>
    </dgm:pt>
    <dgm:pt modelId="{F97A3776-D5CF-4370-BB76-CD9FD80ECAAC}">
      <dgm:prSet phldrT="[Text]" custT="1"/>
      <dgm:spPr>
        <a:solidFill>
          <a:srgbClr val="668097"/>
        </a:solidFill>
      </dgm:spPr>
      <dgm:t>
        <a:bodyPr/>
        <a:lstStyle/>
        <a:p>
          <a:r>
            <a:rPr lang="sv-SE" sz="800"/>
            <a:t>Category Manager</a:t>
          </a:r>
        </a:p>
      </dgm:t>
    </dgm:pt>
    <dgm:pt modelId="{C66EFCF2-7CEA-4649-9B5E-BA81C8BB5859}" type="parTrans" cxnId="{B681B37D-0945-4165-86F5-4BFB10C0AB6E}">
      <dgm:prSet/>
      <dgm:spPr>
        <a:ln>
          <a:solidFill>
            <a:srgbClr val="668097"/>
          </a:solidFill>
        </a:ln>
      </dgm:spPr>
      <dgm:t>
        <a:bodyPr/>
        <a:lstStyle/>
        <a:p>
          <a:endParaRPr lang="sv-SE"/>
        </a:p>
      </dgm:t>
    </dgm:pt>
    <dgm:pt modelId="{66E33E7D-070F-4D77-8C7F-5AA545C6F75D}" type="sibTrans" cxnId="{B681B37D-0945-4165-86F5-4BFB10C0AB6E}">
      <dgm:prSet/>
      <dgm:spPr/>
      <dgm:t>
        <a:bodyPr/>
        <a:lstStyle/>
        <a:p>
          <a:endParaRPr lang="sv-SE"/>
        </a:p>
      </dgm:t>
    </dgm:pt>
    <dgm:pt modelId="{A7C6D8D3-74FC-4669-BA70-F457CA64C338}">
      <dgm:prSet phldrT="[Text]" custT="1"/>
      <dgm:spPr>
        <a:solidFill>
          <a:srgbClr val="668097"/>
        </a:solidFill>
      </dgm:spPr>
      <dgm:t>
        <a:bodyPr/>
        <a:lstStyle/>
        <a:p>
          <a:r>
            <a:rPr lang="sv-SE" sz="800"/>
            <a:t>Procurement Manager</a:t>
          </a:r>
        </a:p>
      </dgm:t>
    </dgm:pt>
    <dgm:pt modelId="{31A5CF9D-8F29-4E9F-A092-10AFE03A88CA}" type="parTrans" cxnId="{890D078B-4142-46F2-A791-7B3159253A3E}">
      <dgm:prSet/>
      <dgm:spPr>
        <a:ln>
          <a:solidFill>
            <a:srgbClr val="668097"/>
          </a:solidFill>
        </a:ln>
      </dgm:spPr>
      <dgm:t>
        <a:bodyPr/>
        <a:lstStyle/>
        <a:p>
          <a:endParaRPr lang="sv-SE"/>
        </a:p>
      </dgm:t>
    </dgm:pt>
    <dgm:pt modelId="{D9AF93EE-CF30-45BD-976F-1B4C84999E80}" type="sibTrans" cxnId="{890D078B-4142-46F2-A791-7B3159253A3E}">
      <dgm:prSet/>
      <dgm:spPr/>
      <dgm:t>
        <a:bodyPr/>
        <a:lstStyle/>
        <a:p>
          <a:endParaRPr lang="sv-SE"/>
        </a:p>
      </dgm:t>
    </dgm:pt>
    <dgm:pt modelId="{303E1F71-1FDB-4FD8-94AD-AE74DC92497C}">
      <dgm:prSet phldrT="[Text]" custT="1"/>
      <dgm:spPr>
        <a:solidFill>
          <a:srgbClr val="668097"/>
        </a:solidFill>
      </dgm:spPr>
      <dgm:t>
        <a:bodyPr/>
        <a:lstStyle/>
        <a:p>
          <a:r>
            <a:rPr lang="sv-SE" sz="800"/>
            <a:t>Contract Manager</a:t>
          </a:r>
        </a:p>
      </dgm:t>
    </dgm:pt>
    <dgm:pt modelId="{9A850EF8-43A8-49F4-ACAF-07256BD9250B}" type="parTrans" cxnId="{B823BA66-06BE-4A95-8616-317A8E2F13E8}">
      <dgm:prSet/>
      <dgm:spPr>
        <a:ln>
          <a:solidFill>
            <a:srgbClr val="668097"/>
          </a:solidFill>
        </a:ln>
      </dgm:spPr>
      <dgm:t>
        <a:bodyPr/>
        <a:lstStyle/>
        <a:p>
          <a:endParaRPr lang="sv-SE"/>
        </a:p>
      </dgm:t>
    </dgm:pt>
    <dgm:pt modelId="{04B39B99-8422-4779-92A0-E9A90BA46A8F}" type="sibTrans" cxnId="{B823BA66-06BE-4A95-8616-317A8E2F13E8}">
      <dgm:prSet/>
      <dgm:spPr/>
      <dgm:t>
        <a:bodyPr/>
        <a:lstStyle/>
        <a:p>
          <a:endParaRPr lang="sv-SE"/>
        </a:p>
      </dgm:t>
    </dgm:pt>
    <dgm:pt modelId="{E9463065-F1B5-4B20-900C-8FF965D27793}">
      <dgm:prSet phldrT="[Text]" custT="1"/>
      <dgm:spPr>
        <a:solidFill>
          <a:srgbClr val="668097"/>
        </a:solidFill>
      </dgm:spPr>
      <dgm:t>
        <a:bodyPr/>
        <a:lstStyle/>
        <a:p>
          <a:r>
            <a:rPr lang="sv-SE" sz="800"/>
            <a:t>Sustainability Manager</a:t>
          </a:r>
        </a:p>
      </dgm:t>
    </dgm:pt>
    <dgm:pt modelId="{6E9B8962-5617-4A74-A663-B42A82C216B3}" type="parTrans" cxnId="{F702E770-0E9D-42DB-AA55-C6CFE30EB37B}">
      <dgm:prSet/>
      <dgm:spPr>
        <a:ln>
          <a:solidFill>
            <a:srgbClr val="668097"/>
          </a:solidFill>
        </a:ln>
      </dgm:spPr>
      <dgm:t>
        <a:bodyPr/>
        <a:lstStyle/>
        <a:p>
          <a:endParaRPr lang="sv-SE"/>
        </a:p>
      </dgm:t>
    </dgm:pt>
    <dgm:pt modelId="{7081B8D8-950A-46B4-AF21-302832D74F8E}" type="sibTrans" cxnId="{F702E770-0E9D-42DB-AA55-C6CFE30EB37B}">
      <dgm:prSet/>
      <dgm:spPr/>
      <dgm:t>
        <a:bodyPr/>
        <a:lstStyle/>
        <a:p>
          <a:endParaRPr lang="sv-SE"/>
        </a:p>
      </dgm:t>
    </dgm:pt>
    <dgm:pt modelId="{E4E07E08-0B43-4DE9-B284-877279F919F0}">
      <dgm:prSet phldrT="[Text]" custT="1"/>
      <dgm:spPr>
        <a:solidFill>
          <a:srgbClr val="668097"/>
        </a:solidFill>
      </dgm:spPr>
      <dgm:t>
        <a:bodyPr/>
        <a:lstStyle/>
        <a:p>
          <a:r>
            <a:rPr lang="sv-SE" sz="800"/>
            <a:t>Category Manager</a:t>
          </a:r>
        </a:p>
      </dgm:t>
    </dgm:pt>
    <dgm:pt modelId="{CC10A7E5-B367-40EC-B5CA-79167F5F861F}" type="parTrans" cxnId="{FE9DEC7E-03EA-466A-A2F3-059318DAE94A}">
      <dgm:prSet/>
      <dgm:spPr>
        <a:ln>
          <a:solidFill>
            <a:srgbClr val="668097"/>
          </a:solidFill>
        </a:ln>
      </dgm:spPr>
      <dgm:t>
        <a:bodyPr/>
        <a:lstStyle/>
        <a:p>
          <a:endParaRPr lang="sv-SE"/>
        </a:p>
      </dgm:t>
    </dgm:pt>
    <dgm:pt modelId="{E0276EBB-4A39-407B-90E6-8CF1AB67D01B}" type="sibTrans" cxnId="{FE9DEC7E-03EA-466A-A2F3-059318DAE94A}">
      <dgm:prSet/>
      <dgm:spPr/>
      <dgm:t>
        <a:bodyPr/>
        <a:lstStyle/>
        <a:p>
          <a:endParaRPr lang="sv-SE"/>
        </a:p>
      </dgm:t>
    </dgm:pt>
    <dgm:pt modelId="{139512E9-B89D-4185-9C3E-0208B71D8208}">
      <dgm:prSet phldrT="[Text]" custT="1"/>
      <dgm:spPr>
        <a:solidFill>
          <a:srgbClr val="668097"/>
        </a:solidFill>
      </dgm:spPr>
      <dgm:t>
        <a:bodyPr/>
        <a:lstStyle/>
        <a:p>
          <a:r>
            <a:rPr lang="sv-SE" sz="800"/>
            <a:t>Procurement Manager</a:t>
          </a:r>
        </a:p>
      </dgm:t>
    </dgm:pt>
    <dgm:pt modelId="{3CDFE2A7-30E3-4968-8FB2-942042FA2179}" type="parTrans" cxnId="{E699DC20-C671-4CE7-AC9B-7FFB32D2C5E0}">
      <dgm:prSet/>
      <dgm:spPr>
        <a:ln>
          <a:solidFill>
            <a:srgbClr val="668097"/>
          </a:solidFill>
        </a:ln>
      </dgm:spPr>
      <dgm:t>
        <a:bodyPr/>
        <a:lstStyle/>
        <a:p>
          <a:endParaRPr lang="sv-SE"/>
        </a:p>
      </dgm:t>
    </dgm:pt>
    <dgm:pt modelId="{956BF5A2-7216-4577-A108-0D084D2BA88E}" type="sibTrans" cxnId="{E699DC20-C671-4CE7-AC9B-7FFB32D2C5E0}">
      <dgm:prSet/>
      <dgm:spPr/>
      <dgm:t>
        <a:bodyPr/>
        <a:lstStyle/>
        <a:p>
          <a:endParaRPr lang="sv-SE"/>
        </a:p>
      </dgm:t>
    </dgm:pt>
    <dgm:pt modelId="{A2ED6D40-0F2A-41FD-99C1-B656B45839AC}">
      <dgm:prSet phldrT="[Text]" custT="1"/>
      <dgm:spPr>
        <a:solidFill>
          <a:srgbClr val="668097"/>
        </a:solidFill>
      </dgm:spPr>
      <dgm:t>
        <a:bodyPr/>
        <a:lstStyle/>
        <a:p>
          <a:r>
            <a:rPr lang="sv-SE" sz="800"/>
            <a:t>Contract Manager</a:t>
          </a:r>
        </a:p>
      </dgm:t>
    </dgm:pt>
    <dgm:pt modelId="{7730804A-3132-420F-AC07-A226E12FF569}" type="parTrans" cxnId="{2DD17886-661F-4A24-8479-1ECEA6A9F47C}">
      <dgm:prSet/>
      <dgm:spPr>
        <a:ln>
          <a:solidFill>
            <a:srgbClr val="668097"/>
          </a:solidFill>
        </a:ln>
      </dgm:spPr>
      <dgm:t>
        <a:bodyPr/>
        <a:lstStyle/>
        <a:p>
          <a:endParaRPr lang="sv-SE"/>
        </a:p>
      </dgm:t>
    </dgm:pt>
    <dgm:pt modelId="{35A57F71-354E-40BE-ADF8-13CD5BE21BCB}" type="sibTrans" cxnId="{2DD17886-661F-4A24-8479-1ECEA6A9F47C}">
      <dgm:prSet/>
      <dgm:spPr/>
      <dgm:t>
        <a:bodyPr/>
        <a:lstStyle/>
        <a:p>
          <a:endParaRPr lang="sv-SE"/>
        </a:p>
      </dgm:t>
    </dgm:pt>
    <dgm:pt modelId="{5396B857-449B-42DA-92BA-8DAC13386E1B}">
      <dgm:prSet phldrT="[Text]" custT="1"/>
      <dgm:spPr>
        <a:solidFill>
          <a:srgbClr val="668097"/>
        </a:solidFill>
      </dgm:spPr>
      <dgm:t>
        <a:bodyPr/>
        <a:lstStyle/>
        <a:p>
          <a:r>
            <a:rPr lang="sv-SE" sz="800"/>
            <a:t>Sustainability Manager</a:t>
          </a:r>
        </a:p>
      </dgm:t>
    </dgm:pt>
    <dgm:pt modelId="{49CA6263-C3E0-44C2-A6E1-BF8A491B67CB}" type="parTrans" cxnId="{56B070FB-6D56-458C-ADDC-EAFD97D76C24}">
      <dgm:prSet/>
      <dgm:spPr>
        <a:ln>
          <a:solidFill>
            <a:srgbClr val="668097"/>
          </a:solidFill>
        </a:ln>
      </dgm:spPr>
      <dgm:t>
        <a:bodyPr/>
        <a:lstStyle/>
        <a:p>
          <a:endParaRPr lang="sv-SE"/>
        </a:p>
      </dgm:t>
    </dgm:pt>
    <dgm:pt modelId="{263C179B-9074-44DB-8D9D-B3CB75AAB21E}" type="sibTrans" cxnId="{56B070FB-6D56-458C-ADDC-EAFD97D76C24}">
      <dgm:prSet/>
      <dgm:spPr/>
      <dgm:t>
        <a:bodyPr/>
        <a:lstStyle/>
        <a:p>
          <a:endParaRPr lang="sv-SE"/>
        </a:p>
      </dgm:t>
    </dgm:pt>
    <dgm:pt modelId="{F172A343-56FC-4E58-BDA7-70DB25770A98}" type="pres">
      <dgm:prSet presAssocID="{98397839-CCE3-4213-B737-090B4C91746C}" presName="hierChild1" presStyleCnt="0">
        <dgm:presLayoutVars>
          <dgm:orgChart val="1"/>
          <dgm:chPref val="1"/>
          <dgm:dir/>
          <dgm:animOne val="branch"/>
          <dgm:animLvl val="lvl"/>
          <dgm:resizeHandles/>
        </dgm:presLayoutVars>
      </dgm:prSet>
      <dgm:spPr/>
    </dgm:pt>
    <dgm:pt modelId="{87C35148-4447-4809-B718-C8E5D44CE373}" type="pres">
      <dgm:prSet presAssocID="{A07DC928-C2E0-4045-9993-C0AEECF4A856}" presName="hierRoot1" presStyleCnt="0">
        <dgm:presLayoutVars>
          <dgm:hierBranch val="init"/>
        </dgm:presLayoutVars>
      </dgm:prSet>
      <dgm:spPr/>
    </dgm:pt>
    <dgm:pt modelId="{CADE060E-3E2B-4C91-A111-370C12CA1B9E}" type="pres">
      <dgm:prSet presAssocID="{A07DC928-C2E0-4045-9993-C0AEECF4A856}" presName="rootComposite1" presStyleCnt="0"/>
      <dgm:spPr/>
    </dgm:pt>
    <dgm:pt modelId="{AF3F8A83-F8BF-4CA9-A47F-4A0FBA0473F1}" type="pres">
      <dgm:prSet presAssocID="{A07DC928-C2E0-4045-9993-C0AEECF4A856}" presName="rootText1" presStyleLbl="node0" presStyleIdx="0" presStyleCnt="1" custScaleX="136918" custLinFactNeighborX="3281" custLinFactNeighborY="4375">
        <dgm:presLayoutVars>
          <dgm:chPref val="3"/>
        </dgm:presLayoutVars>
      </dgm:prSet>
      <dgm:spPr/>
    </dgm:pt>
    <dgm:pt modelId="{021566B7-54FB-4B11-A36B-28B02DE0CF53}" type="pres">
      <dgm:prSet presAssocID="{A07DC928-C2E0-4045-9993-C0AEECF4A856}" presName="rootConnector1" presStyleLbl="node1" presStyleIdx="0" presStyleCnt="0"/>
      <dgm:spPr/>
    </dgm:pt>
    <dgm:pt modelId="{A1CC2890-9A6D-4056-8406-48B1932A5171}" type="pres">
      <dgm:prSet presAssocID="{A07DC928-C2E0-4045-9993-C0AEECF4A856}" presName="hierChild2" presStyleCnt="0"/>
      <dgm:spPr/>
    </dgm:pt>
    <dgm:pt modelId="{88B74A10-592B-484C-B5A5-5BFFC47F5ADC}" type="pres">
      <dgm:prSet presAssocID="{A63CA122-DA30-485B-920F-28F6569B2AA7}" presName="Name37" presStyleLbl="parChTrans1D2" presStyleIdx="0" presStyleCnt="3"/>
      <dgm:spPr/>
    </dgm:pt>
    <dgm:pt modelId="{3735797B-8491-43CD-B2C3-9A94437494E5}" type="pres">
      <dgm:prSet presAssocID="{BBF0385D-5D5D-4526-A603-A4E71F767B3B}" presName="hierRoot2" presStyleCnt="0">
        <dgm:presLayoutVars>
          <dgm:hierBranch val="init"/>
        </dgm:presLayoutVars>
      </dgm:prSet>
      <dgm:spPr/>
    </dgm:pt>
    <dgm:pt modelId="{2B3AC518-43A7-44C8-ACAF-32933DA7CC18}" type="pres">
      <dgm:prSet presAssocID="{BBF0385D-5D5D-4526-A603-A4E71F767B3B}" presName="rootComposite" presStyleCnt="0"/>
      <dgm:spPr/>
    </dgm:pt>
    <dgm:pt modelId="{909E7374-5D35-4741-BED3-AB47C5E01242}" type="pres">
      <dgm:prSet presAssocID="{BBF0385D-5D5D-4526-A603-A4E71F767B3B}" presName="rootText" presStyleLbl="node2" presStyleIdx="0" presStyleCnt="3" custScaleX="136918" custLinFactNeighborX="-22925" custLinFactNeighborY="4386">
        <dgm:presLayoutVars>
          <dgm:chPref val="3"/>
        </dgm:presLayoutVars>
      </dgm:prSet>
      <dgm:spPr/>
    </dgm:pt>
    <dgm:pt modelId="{6E18A9D6-BE51-44AD-A5CB-E81ADD2DEAF1}" type="pres">
      <dgm:prSet presAssocID="{BBF0385D-5D5D-4526-A603-A4E71F767B3B}" presName="rootConnector" presStyleLbl="node2" presStyleIdx="0" presStyleCnt="3"/>
      <dgm:spPr/>
    </dgm:pt>
    <dgm:pt modelId="{AE3A4D0C-5557-42F5-94EF-2AB3EE57146A}" type="pres">
      <dgm:prSet presAssocID="{BBF0385D-5D5D-4526-A603-A4E71F767B3B}" presName="hierChild4" presStyleCnt="0"/>
      <dgm:spPr/>
    </dgm:pt>
    <dgm:pt modelId="{5044A669-8FAD-4708-9CEF-46F9C8162EBA}" type="pres">
      <dgm:prSet presAssocID="{BBD1280B-FE07-4C66-868B-1B68B99BD040}" presName="Name37" presStyleLbl="parChTrans1D3" presStyleIdx="0" presStyleCnt="9"/>
      <dgm:spPr/>
    </dgm:pt>
    <dgm:pt modelId="{E1E6A40F-FA81-4AA7-BD6E-516F8E4623BB}" type="pres">
      <dgm:prSet presAssocID="{231164B3-0C1E-4A9B-9C08-A4A44ED72C63}" presName="hierRoot2" presStyleCnt="0">
        <dgm:presLayoutVars>
          <dgm:hierBranch val="init"/>
        </dgm:presLayoutVars>
      </dgm:prSet>
      <dgm:spPr/>
    </dgm:pt>
    <dgm:pt modelId="{A9386AA7-9694-48A7-B57A-29682CE5315F}" type="pres">
      <dgm:prSet presAssocID="{231164B3-0C1E-4A9B-9C08-A4A44ED72C63}" presName="rootComposite" presStyleCnt="0"/>
      <dgm:spPr/>
    </dgm:pt>
    <dgm:pt modelId="{476EBCBE-E461-4C23-9C9A-84542CFC9CA6}" type="pres">
      <dgm:prSet presAssocID="{231164B3-0C1E-4A9B-9C08-A4A44ED72C63}" presName="rootText" presStyleLbl="node3" presStyleIdx="0" presStyleCnt="9" custScaleX="136918" custLinFactNeighborX="-22925" custLinFactNeighborY="4386">
        <dgm:presLayoutVars>
          <dgm:chPref val="3"/>
        </dgm:presLayoutVars>
      </dgm:prSet>
      <dgm:spPr/>
    </dgm:pt>
    <dgm:pt modelId="{2B02B33E-D7C5-433C-B90F-A84F645B5FB2}" type="pres">
      <dgm:prSet presAssocID="{231164B3-0C1E-4A9B-9C08-A4A44ED72C63}" presName="rootConnector" presStyleLbl="node3" presStyleIdx="0" presStyleCnt="9"/>
      <dgm:spPr/>
    </dgm:pt>
    <dgm:pt modelId="{1B2E9AA6-83A7-4FE7-9853-F2BBBC928762}" type="pres">
      <dgm:prSet presAssocID="{231164B3-0C1E-4A9B-9C08-A4A44ED72C63}" presName="hierChild4" presStyleCnt="0"/>
      <dgm:spPr/>
    </dgm:pt>
    <dgm:pt modelId="{E1DD0FC5-E839-4AE1-BDE8-2F911011C2FA}" type="pres">
      <dgm:prSet presAssocID="{231164B3-0C1E-4A9B-9C08-A4A44ED72C63}" presName="hierChild5" presStyleCnt="0"/>
      <dgm:spPr/>
    </dgm:pt>
    <dgm:pt modelId="{7A5CA0F0-3680-48DA-96C5-8109004E4B14}" type="pres">
      <dgm:prSet presAssocID="{B295289A-99CC-4C8D-B740-CBD6A676FF0F}" presName="Name37" presStyleLbl="parChTrans1D3" presStyleIdx="1" presStyleCnt="9"/>
      <dgm:spPr/>
    </dgm:pt>
    <dgm:pt modelId="{FC1B1046-16C5-465C-8324-77DC0049FAB1}" type="pres">
      <dgm:prSet presAssocID="{407E60D1-8132-45D7-80F0-0A891371E433}" presName="hierRoot2" presStyleCnt="0">
        <dgm:presLayoutVars>
          <dgm:hierBranch val="init"/>
        </dgm:presLayoutVars>
      </dgm:prSet>
      <dgm:spPr/>
    </dgm:pt>
    <dgm:pt modelId="{5E488188-B242-4A02-A4A6-7C96FA736766}" type="pres">
      <dgm:prSet presAssocID="{407E60D1-8132-45D7-80F0-0A891371E433}" presName="rootComposite" presStyleCnt="0"/>
      <dgm:spPr/>
    </dgm:pt>
    <dgm:pt modelId="{135737A5-F209-4B90-A95B-9171FBD22361}" type="pres">
      <dgm:prSet presAssocID="{407E60D1-8132-45D7-80F0-0A891371E433}" presName="rootText" presStyleLbl="node3" presStyleIdx="1" presStyleCnt="9" custScaleX="136918" custLinFactNeighborX="-22925" custLinFactNeighborY="4386">
        <dgm:presLayoutVars>
          <dgm:chPref val="3"/>
        </dgm:presLayoutVars>
      </dgm:prSet>
      <dgm:spPr/>
    </dgm:pt>
    <dgm:pt modelId="{B778F30D-425E-4F65-BAB2-B0F9AEA47FDF}" type="pres">
      <dgm:prSet presAssocID="{407E60D1-8132-45D7-80F0-0A891371E433}" presName="rootConnector" presStyleLbl="node3" presStyleIdx="1" presStyleCnt="9"/>
      <dgm:spPr/>
    </dgm:pt>
    <dgm:pt modelId="{364DCE14-7391-4BDF-94F4-26D1FB4E9627}" type="pres">
      <dgm:prSet presAssocID="{407E60D1-8132-45D7-80F0-0A891371E433}" presName="hierChild4" presStyleCnt="0"/>
      <dgm:spPr/>
    </dgm:pt>
    <dgm:pt modelId="{360298D4-5B4C-466C-909F-EE95382E333F}" type="pres">
      <dgm:prSet presAssocID="{407E60D1-8132-45D7-80F0-0A891371E433}" presName="hierChild5" presStyleCnt="0"/>
      <dgm:spPr/>
    </dgm:pt>
    <dgm:pt modelId="{F20FC35F-2BAF-47E1-A5BB-062158034882}" type="pres">
      <dgm:prSet presAssocID="{AC9B0DB9-4442-4776-B9BB-6FCCC078FBD9}" presName="Name37" presStyleLbl="parChTrans1D3" presStyleIdx="2" presStyleCnt="9"/>
      <dgm:spPr/>
    </dgm:pt>
    <dgm:pt modelId="{51BDB067-5276-469D-8754-853C0577710B}" type="pres">
      <dgm:prSet presAssocID="{B16B351B-F92E-434D-B2ED-71E24523BE02}" presName="hierRoot2" presStyleCnt="0">
        <dgm:presLayoutVars>
          <dgm:hierBranch val="init"/>
        </dgm:presLayoutVars>
      </dgm:prSet>
      <dgm:spPr/>
    </dgm:pt>
    <dgm:pt modelId="{05F89438-8FD3-4419-9B95-E6DA89456F77}" type="pres">
      <dgm:prSet presAssocID="{B16B351B-F92E-434D-B2ED-71E24523BE02}" presName="rootComposite" presStyleCnt="0"/>
      <dgm:spPr/>
    </dgm:pt>
    <dgm:pt modelId="{1EB3158A-354F-4344-B517-C3644AAF5321}" type="pres">
      <dgm:prSet presAssocID="{B16B351B-F92E-434D-B2ED-71E24523BE02}" presName="rootText" presStyleLbl="node3" presStyleIdx="2" presStyleCnt="9" custScaleX="136918" custLinFactNeighborX="-22925" custLinFactNeighborY="4386">
        <dgm:presLayoutVars>
          <dgm:chPref val="3"/>
        </dgm:presLayoutVars>
      </dgm:prSet>
      <dgm:spPr/>
    </dgm:pt>
    <dgm:pt modelId="{4C8B9D87-D94F-4856-B3DC-3CB962AECFF8}" type="pres">
      <dgm:prSet presAssocID="{B16B351B-F92E-434D-B2ED-71E24523BE02}" presName="rootConnector" presStyleLbl="node3" presStyleIdx="2" presStyleCnt="9"/>
      <dgm:spPr/>
    </dgm:pt>
    <dgm:pt modelId="{006724A4-604C-4332-A61A-DC13534C1DFD}" type="pres">
      <dgm:prSet presAssocID="{B16B351B-F92E-434D-B2ED-71E24523BE02}" presName="hierChild4" presStyleCnt="0"/>
      <dgm:spPr/>
    </dgm:pt>
    <dgm:pt modelId="{C359C649-D349-44D6-9732-CEAC85C9EE95}" type="pres">
      <dgm:prSet presAssocID="{B16B351B-F92E-434D-B2ED-71E24523BE02}" presName="hierChild5" presStyleCnt="0"/>
      <dgm:spPr/>
    </dgm:pt>
    <dgm:pt modelId="{3CC24F7E-BDE9-42C1-9477-3D87C719E485}" type="pres">
      <dgm:prSet presAssocID="{BBF0385D-5D5D-4526-A603-A4E71F767B3B}" presName="hierChild5" presStyleCnt="0"/>
      <dgm:spPr/>
    </dgm:pt>
    <dgm:pt modelId="{887DBFE0-4ACF-4CC6-92A0-895A508CA6A9}" type="pres">
      <dgm:prSet presAssocID="{C66EFCF2-7CEA-4649-9B5E-BA81C8BB5859}" presName="Name37" presStyleLbl="parChTrans1D2" presStyleIdx="1" presStyleCnt="3"/>
      <dgm:spPr/>
    </dgm:pt>
    <dgm:pt modelId="{6FD170F9-014C-47FB-BF74-B550BB0EF9C4}" type="pres">
      <dgm:prSet presAssocID="{F97A3776-D5CF-4370-BB76-CD9FD80ECAAC}" presName="hierRoot2" presStyleCnt="0">
        <dgm:presLayoutVars>
          <dgm:hierBranch val="init"/>
        </dgm:presLayoutVars>
      </dgm:prSet>
      <dgm:spPr/>
    </dgm:pt>
    <dgm:pt modelId="{3F816D2B-9795-4B22-840F-FC47D6A56545}" type="pres">
      <dgm:prSet presAssocID="{F97A3776-D5CF-4370-BB76-CD9FD80ECAAC}" presName="rootComposite" presStyleCnt="0"/>
      <dgm:spPr/>
    </dgm:pt>
    <dgm:pt modelId="{6F3F4925-07E2-48C1-B609-11088F5175DD}" type="pres">
      <dgm:prSet presAssocID="{F97A3776-D5CF-4370-BB76-CD9FD80ECAAC}" presName="rootText" presStyleLbl="node2" presStyleIdx="1" presStyleCnt="3" custScaleX="136918" custLinFactNeighborX="3281" custLinFactNeighborY="4375">
        <dgm:presLayoutVars>
          <dgm:chPref val="3"/>
        </dgm:presLayoutVars>
      </dgm:prSet>
      <dgm:spPr/>
    </dgm:pt>
    <dgm:pt modelId="{FAA9F014-421B-4604-8762-92D8AA3BB7B9}" type="pres">
      <dgm:prSet presAssocID="{F97A3776-D5CF-4370-BB76-CD9FD80ECAAC}" presName="rootConnector" presStyleLbl="node2" presStyleIdx="1" presStyleCnt="3"/>
      <dgm:spPr/>
    </dgm:pt>
    <dgm:pt modelId="{A157C252-1586-48B0-936D-66751BB9B058}" type="pres">
      <dgm:prSet presAssocID="{F97A3776-D5CF-4370-BB76-CD9FD80ECAAC}" presName="hierChild4" presStyleCnt="0"/>
      <dgm:spPr/>
    </dgm:pt>
    <dgm:pt modelId="{04A7D9B0-102A-4B25-BA45-4CB53A30F751}" type="pres">
      <dgm:prSet presAssocID="{31A5CF9D-8F29-4E9F-A092-10AFE03A88CA}" presName="Name37" presStyleLbl="parChTrans1D3" presStyleIdx="3" presStyleCnt="9"/>
      <dgm:spPr/>
    </dgm:pt>
    <dgm:pt modelId="{0CBC1CB8-3DC2-49F7-9FFB-F707D5FE1904}" type="pres">
      <dgm:prSet presAssocID="{A7C6D8D3-74FC-4669-BA70-F457CA64C338}" presName="hierRoot2" presStyleCnt="0">
        <dgm:presLayoutVars>
          <dgm:hierBranch val="init"/>
        </dgm:presLayoutVars>
      </dgm:prSet>
      <dgm:spPr/>
    </dgm:pt>
    <dgm:pt modelId="{25C59AFB-2020-4424-A809-2AC2EC3EAB75}" type="pres">
      <dgm:prSet presAssocID="{A7C6D8D3-74FC-4669-BA70-F457CA64C338}" presName="rootComposite" presStyleCnt="0"/>
      <dgm:spPr/>
    </dgm:pt>
    <dgm:pt modelId="{9582B8F0-5AC6-4780-82CE-E7021459A554}" type="pres">
      <dgm:prSet presAssocID="{A7C6D8D3-74FC-4669-BA70-F457CA64C338}" presName="rootText" presStyleLbl="node3" presStyleIdx="3" presStyleCnt="9" custScaleX="136918" custLinFactNeighborX="3281" custLinFactNeighborY="4375">
        <dgm:presLayoutVars>
          <dgm:chPref val="3"/>
        </dgm:presLayoutVars>
      </dgm:prSet>
      <dgm:spPr/>
    </dgm:pt>
    <dgm:pt modelId="{133E0D8C-6834-4C82-BD11-D4214B05B8C0}" type="pres">
      <dgm:prSet presAssocID="{A7C6D8D3-74FC-4669-BA70-F457CA64C338}" presName="rootConnector" presStyleLbl="node3" presStyleIdx="3" presStyleCnt="9"/>
      <dgm:spPr/>
    </dgm:pt>
    <dgm:pt modelId="{3F8B5972-0A65-40B5-AD47-6E30C16A0E59}" type="pres">
      <dgm:prSet presAssocID="{A7C6D8D3-74FC-4669-BA70-F457CA64C338}" presName="hierChild4" presStyleCnt="0"/>
      <dgm:spPr/>
    </dgm:pt>
    <dgm:pt modelId="{1B2719CE-6280-46FC-A561-1DD3D72626DC}" type="pres">
      <dgm:prSet presAssocID="{A7C6D8D3-74FC-4669-BA70-F457CA64C338}" presName="hierChild5" presStyleCnt="0"/>
      <dgm:spPr/>
    </dgm:pt>
    <dgm:pt modelId="{E34E4469-C4D4-492D-AAC3-7455852064D6}" type="pres">
      <dgm:prSet presAssocID="{9A850EF8-43A8-49F4-ACAF-07256BD9250B}" presName="Name37" presStyleLbl="parChTrans1D3" presStyleIdx="4" presStyleCnt="9"/>
      <dgm:spPr/>
    </dgm:pt>
    <dgm:pt modelId="{56DED8FC-ED38-46A1-8ECD-BF4F264FAC80}" type="pres">
      <dgm:prSet presAssocID="{303E1F71-1FDB-4FD8-94AD-AE74DC92497C}" presName="hierRoot2" presStyleCnt="0">
        <dgm:presLayoutVars>
          <dgm:hierBranch val="init"/>
        </dgm:presLayoutVars>
      </dgm:prSet>
      <dgm:spPr/>
    </dgm:pt>
    <dgm:pt modelId="{6CF965D2-22F2-4556-9739-88691A8B4313}" type="pres">
      <dgm:prSet presAssocID="{303E1F71-1FDB-4FD8-94AD-AE74DC92497C}" presName="rootComposite" presStyleCnt="0"/>
      <dgm:spPr/>
    </dgm:pt>
    <dgm:pt modelId="{84C925DB-8C98-4DF8-A4A5-B6EEB66F17FC}" type="pres">
      <dgm:prSet presAssocID="{303E1F71-1FDB-4FD8-94AD-AE74DC92497C}" presName="rootText" presStyleLbl="node3" presStyleIdx="4" presStyleCnt="9" custScaleX="136918" custLinFactNeighborX="3281" custLinFactNeighborY="4375">
        <dgm:presLayoutVars>
          <dgm:chPref val="3"/>
        </dgm:presLayoutVars>
      </dgm:prSet>
      <dgm:spPr/>
    </dgm:pt>
    <dgm:pt modelId="{DE066E35-A834-4F6C-A805-C65DA63061E2}" type="pres">
      <dgm:prSet presAssocID="{303E1F71-1FDB-4FD8-94AD-AE74DC92497C}" presName="rootConnector" presStyleLbl="node3" presStyleIdx="4" presStyleCnt="9"/>
      <dgm:spPr/>
    </dgm:pt>
    <dgm:pt modelId="{6C588547-B647-4D0A-969B-7206DD0E8ACD}" type="pres">
      <dgm:prSet presAssocID="{303E1F71-1FDB-4FD8-94AD-AE74DC92497C}" presName="hierChild4" presStyleCnt="0"/>
      <dgm:spPr/>
    </dgm:pt>
    <dgm:pt modelId="{C98BED25-4DF1-409A-AD53-BF1C7FF5E8F4}" type="pres">
      <dgm:prSet presAssocID="{303E1F71-1FDB-4FD8-94AD-AE74DC92497C}" presName="hierChild5" presStyleCnt="0"/>
      <dgm:spPr/>
    </dgm:pt>
    <dgm:pt modelId="{4AEB4AE1-6000-4362-BED7-18979AD1CFC4}" type="pres">
      <dgm:prSet presAssocID="{6E9B8962-5617-4A74-A663-B42A82C216B3}" presName="Name37" presStyleLbl="parChTrans1D3" presStyleIdx="5" presStyleCnt="9"/>
      <dgm:spPr/>
    </dgm:pt>
    <dgm:pt modelId="{43A17C51-144D-4754-B3E4-5171BFFB93FC}" type="pres">
      <dgm:prSet presAssocID="{E9463065-F1B5-4B20-900C-8FF965D27793}" presName="hierRoot2" presStyleCnt="0">
        <dgm:presLayoutVars>
          <dgm:hierBranch val="init"/>
        </dgm:presLayoutVars>
      </dgm:prSet>
      <dgm:spPr/>
    </dgm:pt>
    <dgm:pt modelId="{3777D7F1-2E6D-4657-B109-B1FCF697C2A2}" type="pres">
      <dgm:prSet presAssocID="{E9463065-F1B5-4B20-900C-8FF965D27793}" presName="rootComposite" presStyleCnt="0"/>
      <dgm:spPr/>
    </dgm:pt>
    <dgm:pt modelId="{AF9A6074-23E3-4C97-82D5-53CB762AA937}" type="pres">
      <dgm:prSet presAssocID="{E9463065-F1B5-4B20-900C-8FF965D27793}" presName="rootText" presStyleLbl="node3" presStyleIdx="5" presStyleCnt="9" custScaleX="136918" custLinFactNeighborX="3281" custLinFactNeighborY="4375">
        <dgm:presLayoutVars>
          <dgm:chPref val="3"/>
        </dgm:presLayoutVars>
      </dgm:prSet>
      <dgm:spPr/>
    </dgm:pt>
    <dgm:pt modelId="{A97B7F5D-1DAB-4192-BBFF-DAC2A998400C}" type="pres">
      <dgm:prSet presAssocID="{E9463065-F1B5-4B20-900C-8FF965D27793}" presName="rootConnector" presStyleLbl="node3" presStyleIdx="5" presStyleCnt="9"/>
      <dgm:spPr/>
    </dgm:pt>
    <dgm:pt modelId="{DF9759F4-C5C5-4810-BA5E-1FCB212DC153}" type="pres">
      <dgm:prSet presAssocID="{E9463065-F1B5-4B20-900C-8FF965D27793}" presName="hierChild4" presStyleCnt="0"/>
      <dgm:spPr/>
    </dgm:pt>
    <dgm:pt modelId="{B087A19A-8F9A-4041-99CA-37C6973989C1}" type="pres">
      <dgm:prSet presAssocID="{E9463065-F1B5-4B20-900C-8FF965D27793}" presName="hierChild5" presStyleCnt="0"/>
      <dgm:spPr/>
    </dgm:pt>
    <dgm:pt modelId="{EF0F817D-3F57-4DAB-BC06-EE532437E449}" type="pres">
      <dgm:prSet presAssocID="{F97A3776-D5CF-4370-BB76-CD9FD80ECAAC}" presName="hierChild5" presStyleCnt="0"/>
      <dgm:spPr/>
    </dgm:pt>
    <dgm:pt modelId="{7F71F85B-CF5E-46BC-96AC-62B7AF135550}" type="pres">
      <dgm:prSet presAssocID="{CC10A7E5-B367-40EC-B5CA-79167F5F861F}" presName="Name37" presStyleLbl="parChTrans1D2" presStyleIdx="2" presStyleCnt="3"/>
      <dgm:spPr/>
    </dgm:pt>
    <dgm:pt modelId="{8CE0B74B-053F-4656-A7E7-5F69808FAE69}" type="pres">
      <dgm:prSet presAssocID="{E4E07E08-0B43-4DE9-B284-877279F919F0}" presName="hierRoot2" presStyleCnt="0">
        <dgm:presLayoutVars>
          <dgm:hierBranch val="init"/>
        </dgm:presLayoutVars>
      </dgm:prSet>
      <dgm:spPr/>
    </dgm:pt>
    <dgm:pt modelId="{42C80B1E-6C42-40FF-B5D0-E01B2A55A829}" type="pres">
      <dgm:prSet presAssocID="{E4E07E08-0B43-4DE9-B284-877279F919F0}" presName="rootComposite" presStyleCnt="0"/>
      <dgm:spPr/>
    </dgm:pt>
    <dgm:pt modelId="{9F001196-B294-4AF4-8F8D-9890207D3B5F}" type="pres">
      <dgm:prSet presAssocID="{E4E07E08-0B43-4DE9-B284-877279F919F0}" presName="rootText" presStyleLbl="node2" presStyleIdx="2" presStyleCnt="3" custScaleX="136918" custLinFactNeighborX="28395" custLinFactNeighborY="4486">
        <dgm:presLayoutVars>
          <dgm:chPref val="3"/>
        </dgm:presLayoutVars>
      </dgm:prSet>
      <dgm:spPr/>
    </dgm:pt>
    <dgm:pt modelId="{25F0CF54-7694-4AF9-9E77-D8CE059DEA8A}" type="pres">
      <dgm:prSet presAssocID="{E4E07E08-0B43-4DE9-B284-877279F919F0}" presName="rootConnector" presStyleLbl="node2" presStyleIdx="2" presStyleCnt="3"/>
      <dgm:spPr/>
    </dgm:pt>
    <dgm:pt modelId="{80338AD0-ECA1-4330-976F-FA3CE3FDAEDE}" type="pres">
      <dgm:prSet presAssocID="{E4E07E08-0B43-4DE9-B284-877279F919F0}" presName="hierChild4" presStyleCnt="0"/>
      <dgm:spPr/>
    </dgm:pt>
    <dgm:pt modelId="{B80DC896-39FB-46B2-AAEC-F3B2069933F7}" type="pres">
      <dgm:prSet presAssocID="{3CDFE2A7-30E3-4968-8FB2-942042FA2179}" presName="Name37" presStyleLbl="parChTrans1D3" presStyleIdx="6" presStyleCnt="9"/>
      <dgm:spPr/>
    </dgm:pt>
    <dgm:pt modelId="{2F5EDBF0-36FD-4A6B-B783-32CDFDFF8620}" type="pres">
      <dgm:prSet presAssocID="{139512E9-B89D-4185-9C3E-0208B71D8208}" presName="hierRoot2" presStyleCnt="0">
        <dgm:presLayoutVars>
          <dgm:hierBranch val="init"/>
        </dgm:presLayoutVars>
      </dgm:prSet>
      <dgm:spPr/>
    </dgm:pt>
    <dgm:pt modelId="{222CAEFA-C638-4247-AB90-5DB3FD6E54C1}" type="pres">
      <dgm:prSet presAssocID="{139512E9-B89D-4185-9C3E-0208B71D8208}" presName="rootComposite" presStyleCnt="0"/>
      <dgm:spPr/>
    </dgm:pt>
    <dgm:pt modelId="{0A148E9D-A343-4E73-8F9C-703B084F2FBA}" type="pres">
      <dgm:prSet presAssocID="{139512E9-B89D-4185-9C3E-0208B71D8208}" presName="rootText" presStyleLbl="node3" presStyleIdx="6" presStyleCnt="9" custScaleX="136918" custLinFactNeighborX="28395" custLinFactNeighborY="4486">
        <dgm:presLayoutVars>
          <dgm:chPref val="3"/>
        </dgm:presLayoutVars>
      </dgm:prSet>
      <dgm:spPr/>
    </dgm:pt>
    <dgm:pt modelId="{3C5C3204-BF3C-4052-9872-ED215C5E4489}" type="pres">
      <dgm:prSet presAssocID="{139512E9-B89D-4185-9C3E-0208B71D8208}" presName="rootConnector" presStyleLbl="node3" presStyleIdx="6" presStyleCnt="9"/>
      <dgm:spPr/>
    </dgm:pt>
    <dgm:pt modelId="{323EDB45-1715-47E8-B8ED-5F0979DF6DEB}" type="pres">
      <dgm:prSet presAssocID="{139512E9-B89D-4185-9C3E-0208B71D8208}" presName="hierChild4" presStyleCnt="0"/>
      <dgm:spPr/>
    </dgm:pt>
    <dgm:pt modelId="{6F8BA309-858D-4ACD-B0E6-90DADB32CEF9}" type="pres">
      <dgm:prSet presAssocID="{139512E9-B89D-4185-9C3E-0208B71D8208}" presName="hierChild5" presStyleCnt="0"/>
      <dgm:spPr/>
    </dgm:pt>
    <dgm:pt modelId="{08943FDE-A392-48AC-B25B-2ED21C000E31}" type="pres">
      <dgm:prSet presAssocID="{7730804A-3132-420F-AC07-A226E12FF569}" presName="Name37" presStyleLbl="parChTrans1D3" presStyleIdx="7" presStyleCnt="9"/>
      <dgm:spPr/>
    </dgm:pt>
    <dgm:pt modelId="{B4B9672B-64E7-4325-BB95-871626BCAD98}" type="pres">
      <dgm:prSet presAssocID="{A2ED6D40-0F2A-41FD-99C1-B656B45839AC}" presName="hierRoot2" presStyleCnt="0">
        <dgm:presLayoutVars>
          <dgm:hierBranch val="init"/>
        </dgm:presLayoutVars>
      </dgm:prSet>
      <dgm:spPr/>
    </dgm:pt>
    <dgm:pt modelId="{F59575A7-1D37-4C95-AA18-329EAFDFAF6E}" type="pres">
      <dgm:prSet presAssocID="{A2ED6D40-0F2A-41FD-99C1-B656B45839AC}" presName="rootComposite" presStyleCnt="0"/>
      <dgm:spPr/>
    </dgm:pt>
    <dgm:pt modelId="{E3AAC145-5E8E-443A-9AF2-D4ACE0673FB4}" type="pres">
      <dgm:prSet presAssocID="{A2ED6D40-0F2A-41FD-99C1-B656B45839AC}" presName="rootText" presStyleLbl="node3" presStyleIdx="7" presStyleCnt="9" custScaleX="136918" custLinFactNeighborX="28395" custLinFactNeighborY="4486">
        <dgm:presLayoutVars>
          <dgm:chPref val="3"/>
        </dgm:presLayoutVars>
      </dgm:prSet>
      <dgm:spPr/>
    </dgm:pt>
    <dgm:pt modelId="{D83C493B-3313-451E-88BA-B6A39715CF6B}" type="pres">
      <dgm:prSet presAssocID="{A2ED6D40-0F2A-41FD-99C1-B656B45839AC}" presName="rootConnector" presStyleLbl="node3" presStyleIdx="7" presStyleCnt="9"/>
      <dgm:spPr/>
    </dgm:pt>
    <dgm:pt modelId="{AB4C62DF-9E45-4652-AAC7-2D6077487AB6}" type="pres">
      <dgm:prSet presAssocID="{A2ED6D40-0F2A-41FD-99C1-B656B45839AC}" presName="hierChild4" presStyleCnt="0"/>
      <dgm:spPr/>
    </dgm:pt>
    <dgm:pt modelId="{F27674B6-03C7-4D37-8CDB-B535AE434A4D}" type="pres">
      <dgm:prSet presAssocID="{A2ED6D40-0F2A-41FD-99C1-B656B45839AC}" presName="hierChild5" presStyleCnt="0"/>
      <dgm:spPr/>
    </dgm:pt>
    <dgm:pt modelId="{B9BBDDD3-D6F4-4BBB-977E-0445AF305C3F}" type="pres">
      <dgm:prSet presAssocID="{49CA6263-C3E0-44C2-A6E1-BF8A491B67CB}" presName="Name37" presStyleLbl="parChTrans1D3" presStyleIdx="8" presStyleCnt="9"/>
      <dgm:spPr/>
    </dgm:pt>
    <dgm:pt modelId="{37E1CC5F-80AD-45FB-873E-B0DCD57997F3}" type="pres">
      <dgm:prSet presAssocID="{5396B857-449B-42DA-92BA-8DAC13386E1B}" presName="hierRoot2" presStyleCnt="0">
        <dgm:presLayoutVars>
          <dgm:hierBranch val="init"/>
        </dgm:presLayoutVars>
      </dgm:prSet>
      <dgm:spPr/>
    </dgm:pt>
    <dgm:pt modelId="{0F347529-A896-40F5-A34F-0F0AEEC109A0}" type="pres">
      <dgm:prSet presAssocID="{5396B857-449B-42DA-92BA-8DAC13386E1B}" presName="rootComposite" presStyleCnt="0"/>
      <dgm:spPr/>
    </dgm:pt>
    <dgm:pt modelId="{8BE5D0AA-BE36-4930-A7AD-41F38C99368F}" type="pres">
      <dgm:prSet presAssocID="{5396B857-449B-42DA-92BA-8DAC13386E1B}" presName="rootText" presStyleLbl="node3" presStyleIdx="8" presStyleCnt="9" custScaleX="136918" custLinFactNeighborX="28395" custLinFactNeighborY="4486">
        <dgm:presLayoutVars>
          <dgm:chPref val="3"/>
        </dgm:presLayoutVars>
      </dgm:prSet>
      <dgm:spPr/>
    </dgm:pt>
    <dgm:pt modelId="{6919BC3A-BB1B-442F-AF43-EE82D3FEFDB1}" type="pres">
      <dgm:prSet presAssocID="{5396B857-449B-42DA-92BA-8DAC13386E1B}" presName="rootConnector" presStyleLbl="node3" presStyleIdx="8" presStyleCnt="9"/>
      <dgm:spPr/>
    </dgm:pt>
    <dgm:pt modelId="{2C466D0F-A32A-4992-8016-5F891C2267D3}" type="pres">
      <dgm:prSet presAssocID="{5396B857-449B-42DA-92BA-8DAC13386E1B}" presName="hierChild4" presStyleCnt="0"/>
      <dgm:spPr/>
    </dgm:pt>
    <dgm:pt modelId="{73231940-A0B0-4F7D-8309-24B1D9204E23}" type="pres">
      <dgm:prSet presAssocID="{5396B857-449B-42DA-92BA-8DAC13386E1B}" presName="hierChild5" presStyleCnt="0"/>
      <dgm:spPr/>
    </dgm:pt>
    <dgm:pt modelId="{3FE11BE8-1732-45B6-B3D3-538D936706CA}" type="pres">
      <dgm:prSet presAssocID="{E4E07E08-0B43-4DE9-B284-877279F919F0}" presName="hierChild5" presStyleCnt="0"/>
      <dgm:spPr/>
    </dgm:pt>
    <dgm:pt modelId="{35B47A05-F3D1-4E64-AAF6-C8A8D5C47940}" type="pres">
      <dgm:prSet presAssocID="{A07DC928-C2E0-4045-9993-C0AEECF4A856}" presName="hierChild3" presStyleCnt="0"/>
      <dgm:spPr/>
    </dgm:pt>
  </dgm:ptLst>
  <dgm:cxnLst>
    <dgm:cxn modelId="{5D44F605-72B4-4215-88BE-0C1967081674}" type="presOf" srcId="{5396B857-449B-42DA-92BA-8DAC13386E1B}" destId="{8BE5D0AA-BE36-4930-A7AD-41F38C99368F}" srcOrd="0" destOrd="0" presId="urn:microsoft.com/office/officeart/2005/8/layout/orgChart1"/>
    <dgm:cxn modelId="{CA926309-BD73-4B52-B759-45367D9947CF}" type="presOf" srcId="{CC10A7E5-B367-40EC-B5CA-79167F5F861F}" destId="{7F71F85B-CF5E-46BC-96AC-62B7AF135550}" srcOrd="0" destOrd="0" presId="urn:microsoft.com/office/officeart/2005/8/layout/orgChart1"/>
    <dgm:cxn modelId="{F08DC60D-20C0-4AC1-AFFE-C8E2C9DCAFC9}" type="presOf" srcId="{303E1F71-1FDB-4FD8-94AD-AE74DC92497C}" destId="{84C925DB-8C98-4DF8-A4A5-B6EEB66F17FC}" srcOrd="0" destOrd="0" presId="urn:microsoft.com/office/officeart/2005/8/layout/orgChart1"/>
    <dgm:cxn modelId="{4F1B2A11-08F6-42DD-A350-AE3EE179FDDF}" type="presOf" srcId="{BBF0385D-5D5D-4526-A603-A4E71F767B3B}" destId="{909E7374-5D35-4741-BED3-AB47C5E01242}" srcOrd="0" destOrd="0" presId="urn:microsoft.com/office/officeart/2005/8/layout/orgChart1"/>
    <dgm:cxn modelId="{B1E26812-20E4-458C-A827-6F3EB6777477}" type="presOf" srcId="{A2ED6D40-0F2A-41FD-99C1-B656B45839AC}" destId="{E3AAC145-5E8E-443A-9AF2-D4ACE0673FB4}" srcOrd="0" destOrd="0" presId="urn:microsoft.com/office/officeart/2005/8/layout/orgChart1"/>
    <dgm:cxn modelId="{A2A1FE12-CE18-4AF7-BCDB-A9D85489AE53}" type="presOf" srcId="{A07DC928-C2E0-4045-9993-C0AEECF4A856}" destId="{021566B7-54FB-4B11-A36B-28B02DE0CF53}" srcOrd="1" destOrd="0" presId="urn:microsoft.com/office/officeart/2005/8/layout/orgChart1"/>
    <dgm:cxn modelId="{1B4F7816-B061-4C11-87B1-E37E049AD8AC}" type="presOf" srcId="{F97A3776-D5CF-4370-BB76-CD9FD80ECAAC}" destId="{FAA9F014-421B-4604-8762-92D8AA3BB7B9}" srcOrd="1" destOrd="0" presId="urn:microsoft.com/office/officeart/2005/8/layout/orgChart1"/>
    <dgm:cxn modelId="{5569771B-3E80-47AF-9352-C877E9552DF4}" type="presOf" srcId="{407E60D1-8132-45D7-80F0-0A891371E433}" destId="{135737A5-F209-4B90-A95B-9171FBD22361}" srcOrd="0" destOrd="0" presId="urn:microsoft.com/office/officeart/2005/8/layout/orgChart1"/>
    <dgm:cxn modelId="{E699DC20-C671-4CE7-AC9B-7FFB32D2C5E0}" srcId="{E4E07E08-0B43-4DE9-B284-877279F919F0}" destId="{139512E9-B89D-4185-9C3E-0208B71D8208}" srcOrd="0" destOrd="0" parTransId="{3CDFE2A7-30E3-4968-8FB2-942042FA2179}" sibTransId="{956BF5A2-7216-4577-A108-0D084D2BA88E}"/>
    <dgm:cxn modelId="{43D55B24-D4A1-43F3-8444-6C2BD59DFC60}" type="presOf" srcId="{BBF0385D-5D5D-4526-A603-A4E71F767B3B}" destId="{6E18A9D6-BE51-44AD-A5CB-E81ADD2DEAF1}" srcOrd="1" destOrd="0" presId="urn:microsoft.com/office/officeart/2005/8/layout/orgChart1"/>
    <dgm:cxn modelId="{D8234B28-22BC-48DC-B4EE-72437F8DB0E5}" srcId="{BBF0385D-5D5D-4526-A603-A4E71F767B3B}" destId="{B16B351B-F92E-434D-B2ED-71E24523BE02}" srcOrd="2" destOrd="0" parTransId="{AC9B0DB9-4442-4776-B9BB-6FCCC078FBD9}" sibTransId="{37683D7F-625C-4F53-8E58-D25AAA7E9100}"/>
    <dgm:cxn modelId="{7232F028-7D62-4C47-A99D-29B8CF1FB75B}" type="presOf" srcId="{A7C6D8D3-74FC-4669-BA70-F457CA64C338}" destId="{133E0D8C-6834-4C82-BD11-D4214B05B8C0}" srcOrd="1" destOrd="0" presId="urn:microsoft.com/office/officeart/2005/8/layout/orgChart1"/>
    <dgm:cxn modelId="{C8673833-1E22-41C2-BC0A-BE7A6A3722D8}" type="presOf" srcId="{A7C6D8D3-74FC-4669-BA70-F457CA64C338}" destId="{9582B8F0-5AC6-4780-82CE-E7021459A554}" srcOrd="0" destOrd="0" presId="urn:microsoft.com/office/officeart/2005/8/layout/orgChart1"/>
    <dgm:cxn modelId="{D2AF7E35-5327-4FDF-8919-80D144086D7B}" type="presOf" srcId="{49CA6263-C3E0-44C2-A6E1-BF8A491B67CB}" destId="{B9BBDDD3-D6F4-4BBB-977E-0445AF305C3F}" srcOrd="0" destOrd="0" presId="urn:microsoft.com/office/officeart/2005/8/layout/orgChart1"/>
    <dgm:cxn modelId="{9DDF7B38-0C56-40CF-ABCA-C06991145DCD}" type="presOf" srcId="{7730804A-3132-420F-AC07-A226E12FF569}" destId="{08943FDE-A392-48AC-B25B-2ED21C000E31}" srcOrd="0" destOrd="0" presId="urn:microsoft.com/office/officeart/2005/8/layout/orgChart1"/>
    <dgm:cxn modelId="{09030F43-9F46-4664-87FA-B4BC7BA88D52}" type="presOf" srcId="{E9463065-F1B5-4B20-900C-8FF965D27793}" destId="{AF9A6074-23E3-4C97-82D5-53CB762AA937}" srcOrd="0" destOrd="0" presId="urn:microsoft.com/office/officeart/2005/8/layout/orgChart1"/>
    <dgm:cxn modelId="{F94AA343-5B37-4B1C-90B4-D98B3B1E648F}" srcId="{A07DC928-C2E0-4045-9993-C0AEECF4A856}" destId="{BBF0385D-5D5D-4526-A603-A4E71F767B3B}" srcOrd="0" destOrd="0" parTransId="{A63CA122-DA30-485B-920F-28F6569B2AA7}" sibTransId="{464AB47B-1241-492F-AB20-575EB33D4204}"/>
    <dgm:cxn modelId="{1D017D64-E1A9-4C59-916F-98300AA54C3D}" srcId="{BBF0385D-5D5D-4526-A603-A4E71F767B3B}" destId="{407E60D1-8132-45D7-80F0-0A891371E433}" srcOrd="1" destOrd="0" parTransId="{B295289A-99CC-4C8D-B740-CBD6A676FF0F}" sibTransId="{B10BEB62-E27F-4D0E-AF5E-8546AEEA5109}"/>
    <dgm:cxn modelId="{29D89344-A72B-47E6-9048-A2CE323DF019}" type="presOf" srcId="{AC9B0DB9-4442-4776-B9BB-6FCCC078FBD9}" destId="{F20FC35F-2BAF-47E1-A5BB-062158034882}" srcOrd="0" destOrd="0" presId="urn:microsoft.com/office/officeart/2005/8/layout/orgChart1"/>
    <dgm:cxn modelId="{F39AD544-7C79-4770-8607-6012A36EEC73}" type="presOf" srcId="{E9463065-F1B5-4B20-900C-8FF965D27793}" destId="{A97B7F5D-1DAB-4192-BBFF-DAC2A998400C}" srcOrd="1" destOrd="0" presId="urn:microsoft.com/office/officeart/2005/8/layout/orgChart1"/>
    <dgm:cxn modelId="{B823BA66-06BE-4A95-8616-317A8E2F13E8}" srcId="{F97A3776-D5CF-4370-BB76-CD9FD80ECAAC}" destId="{303E1F71-1FDB-4FD8-94AD-AE74DC92497C}" srcOrd="1" destOrd="0" parTransId="{9A850EF8-43A8-49F4-ACAF-07256BD9250B}" sibTransId="{04B39B99-8422-4779-92A0-E9A90BA46A8F}"/>
    <dgm:cxn modelId="{F702E770-0E9D-42DB-AA55-C6CFE30EB37B}" srcId="{F97A3776-D5CF-4370-BB76-CD9FD80ECAAC}" destId="{E9463065-F1B5-4B20-900C-8FF965D27793}" srcOrd="2" destOrd="0" parTransId="{6E9B8962-5617-4A74-A663-B42A82C216B3}" sibTransId="{7081B8D8-950A-46B4-AF21-302832D74F8E}"/>
    <dgm:cxn modelId="{590C3451-EC2A-411B-8816-D3C820F43CCC}" type="presOf" srcId="{BBD1280B-FE07-4C66-868B-1B68B99BD040}" destId="{5044A669-8FAD-4708-9CEF-46F9C8162EBA}" srcOrd="0" destOrd="0" presId="urn:microsoft.com/office/officeart/2005/8/layout/orgChart1"/>
    <dgm:cxn modelId="{5D826251-D7DD-4A8F-8949-AFF70497DB65}" type="presOf" srcId="{303E1F71-1FDB-4FD8-94AD-AE74DC92497C}" destId="{DE066E35-A834-4F6C-A805-C65DA63061E2}" srcOrd="1" destOrd="0" presId="urn:microsoft.com/office/officeart/2005/8/layout/orgChart1"/>
    <dgm:cxn modelId="{998C7072-35CF-4E39-BCD8-D01CBA3992E7}" type="presOf" srcId="{A2ED6D40-0F2A-41FD-99C1-B656B45839AC}" destId="{D83C493B-3313-451E-88BA-B6A39715CF6B}" srcOrd="1" destOrd="0" presId="urn:microsoft.com/office/officeart/2005/8/layout/orgChart1"/>
    <dgm:cxn modelId="{3DAAED59-369D-4096-BE3E-C74FC02A1210}" type="presOf" srcId="{139512E9-B89D-4185-9C3E-0208B71D8208}" destId="{0A148E9D-A343-4E73-8F9C-703B084F2FBA}" srcOrd="0" destOrd="0" presId="urn:microsoft.com/office/officeart/2005/8/layout/orgChart1"/>
    <dgm:cxn modelId="{B681B37D-0945-4165-86F5-4BFB10C0AB6E}" srcId="{A07DC928-C2E0-4045-9993-C0AEECF4A856}" destId="{F97A3776-D5CF-4370-BB76-CD9FD80ECAAC}" srcOrd="1" destOrd="0" parTransId="{C66EFCF2-7CEA-4649-9B5E-BA81C8BB5859}" sibTransId="{66E33E7D-070F-4D77-8C7F-5AA545C6F75D}"/>
    <dgm:cxn modelId="{FE9DEC7E-03EA-466A-A2F3-059318DAE94A}" srcId="{A07DC928-C2E0-4045-9993-C0AEECF4A856}" destId="{E4E07E08-0B43-4DE9-B284-877279F919F0}" srcOrd="2" destOrd="0" parTransId="{CC10A7E5-B367-40EC-B5CA-79167F5F861F}" sibTransId="{E0276EBB-4A39-407B-90E6-8CF1AB67D01B}"/>
    <dgm:cxn modelId="{F0674180-E996-402C-A0FA-692AB04567CA}" type="presOf" srcId="{B295289A-99CC-4C8D-B740-CBD6A676FF0F}" destId="{7A5CA0F0-3680-48DA-96C5-8109004E4B14}" srcOrd="0" destOrd="0" presId="urn:microsoft.com/office/officeart/2005/8/layout/orgChart1"/>
    <dgm:cxn modelId="{1F2C5484-F7B4-42C5-8925-AE8DB6EAEBD7}" type="presOf" srcId="{E4E07E08-0B43-4DE9-B284-877279F919F0}" destId="{25F0CF54-7694-4AF9-9E77-D8CE059DEA8A}" srcOrd="1" destOrd="0" presId="urn:microsoft.com/office/officeart/2005/8/layout/orgChart1"/>
    <dgm:cxn modelId="{11C63786-AF29-49F6-9B03-6653CEB70259}" type="presOf" srcId="{F97A3776-D5CF-4370-BB76-CD9FD80ECAAC}" destId="{6F3F4925-07E2-48C1-B609-11088F5175DD}" srcOrd="0" destOrd="0" presId="urn:microsoft.com/office/officeart/2005/8/layout/orgChart1"/>
    <dgm:cxn modelId="{2DD17886-661F-4A24-8479-1ECEA6A9F47C}" srcId="{E4E07E08-0B43-4DE9-B284-877279F919F0}" destId="{A2ED6D40-0F2A-41FD-99C1-B656B45839AC}" srcOrd="1" destOrd="0" parTransId="{7730804A-3132-420F-AC07-A226E12FF569}" sibTransId="{35A57F71-354E-40BE-ADF8-13CD5BE21BCB}"/>
    <dgm:cxn modelId="{D11C1C89-DB86-4FDB-B256-1D225065A603}" type="presOf" srcId="{E4E07E08-0B43-4DE9-B284-877279F919F0}" destId="{9F001196-B294-4AF4-8F8D-9890207D3B5F}" srcOrd="0" destOrd="0" presId="urn:microsoft.com/office/officeart/2005/8/layout/orgChart1"/>
    <dgm:cxn modelId="{34803789-3347-4AAD-903C-2973F6A9598B}" type="presOf" srcId="{6E9B8962-5617-4A74-A663-B42A82C216B3}" destId="{4AEB4AE1-6000-4362-BED7-18979AD1CFC4}" srcOrd="0" destOrd="0" presId="urn:microsoft.com/office/officeart/2005/8/layout/orgChart1"/>
    <dgm:cxn modelId="{D121478A-30D1-4BD7-A6A7-4BF6BA9A6160}" type="presOf" srcId="{98397839-CCE3-4213-B737-090B4C91746C}" destId="{F172A343-56FC-4E58-BDA7-70DB25770A98}" srcOrd="0" destOrd="0" presId="urn:microsoft.com/office/officeart/2005/8/layout/orgChart1"/>
    <dgm:cxn modelId="{890D078B-4142-46F2-A791-7B3159253A3E}" srcId="{F97A3776-D5CF-4370-BB76-CD9FD80ECAAC}" destId="{A7C6D8D3-74FC-4669-BA70-F457CA64C338}" srcOrd="0" destOrd="0" parTransId="{31A5CF9D-8F29-4E9F-A092-10AFE03A88CA}" sibTransId="{D9AF93EE-CF30-45BD-976F-1B4C84999E80}"/>
    <dgm:cxn modelId="{F6DE5499-8E16-426A-9FBC-FDB62DD374FC}" type="presOf" srcId="{3CDFE2A7-30E3-4968-8FB2-942042FA2179}" destId="{B80DC896-39FB-46B2-AAEC-F3B2069933F7}" srcOrd="0" destOrd="0" presId="urn:microsoft.com/office/officeart/2005/8/layout/orgChart1"/>
    <dgm:cxn modelId="{2A7C8A9F-3931-4CE0-A64D-F0BD229F7052}" type="presOf" srcId="{5396B857-449B-42DA-92BA-8DAC13386E1B}" destId="{6919BC3A-BB1B-442F-AF43-EE82D3FEFDB1}" srcOrd="1" destOrd="0" presId="urn:microsoft.com/office/officeart/2005/8/layout/orgChart1"/>
    <dgm:cxn modelId="{149556AE-FEF7-4D83-9B26-A71CE7E1BD26}" type="presOf" srcId="{139512E9-B89D-4185-9C3E-0208B71D8208}" destId="{3C5C3204-BF3C-4052-9872-ED215C5E4489}" srcOrd="1" destOrd="0" presId="urn:microsoft.com/office/officeart/2005/8/layout/orgChart1"/>
    <dgm:cxn modelId="{A14C87B0-A902-48DF-8CCB-F241279A683F}" type="presOf" srcId="{A63CA122-DA30-485B-920F-28F6569B2AA7}" destId="{88B74A10-592B-484C-B5A5-5BFFC47F5ADC}" srcOrd="0" destOrd="0" presId="urn:microsoft.com/office/officeart/2005/8/layout/orgChart1"/>
    <dgm:cxn modelId="{4665BCB2-0BCF-4C1E-B148-024F869F3DA8}" type="presOf" srcId="{31A5CF9D-8F29-4E9F-A092-10AFE03A88CA}" destId="{04A7D9B0-102A-4B25-BA45-4CB53A30F751}" srcOrd="0" destOrd="0" presId="urn:microsoft.com/office/officeart/2005/8/layout/orgChart1"/>
    <dgm:cxn modelId="{B29D7CB5-8C4F-4B6D-97EA-831C542D67EB}" type="presOf" srcId="{B16B351B-F92E-434D-B2ED-71E24523BE02}" destId="{1EB3158A-354F-4344-B517-C3644AAF5321}" srcOrd="0" destOrd="0" presId="urn:microsoft.com/office/officeart/2005/8/layout/orgChart1"/>
    <dgm:cxn modelId="{C68787BC-9795-4CB4-8552-2D91494B1E3B}" srcId="{98397839-CCE3-4213-B737-090B4C91746C}" destId="{A07DC928-C2E0-4045-9993-C0AEECF4A856}" srcOrd="0" destOrd="0" parTransId="{1F7C71CD-DAF0-4323-8DAD-784F594F8A66}" sibTransId="{4680FBA0-1D55-42D7-9F5C-41F7392B0FF0}"/>
    <dgm:cxn modelId="{4CF8D1C3-D088-4F4B-AA4E-396A151231D2}" type="presOf" srcId="{9A850EF8-43A8-49F4-ACAF-07256BD9250B}" destId="{E34E4469-C4D4-492D-AAC3-7455852064D6}" srcOrd="0" destOrd="0" presId="urn:microsoft.com/office/officeart/2005/8/layout/orgChart1"/>
    <dgm:cxn modelId="{C7473DC9-0727-4404-99CB-F0B39356D269}" srcId="{BBF0385D-5D5D-4526-A603-A4E71F767B3B}" destId="{231164B3-0C1E-4A9B-9C08-A4A44ED72C63}" srcOrd="0" destOrd="0" parTransId="{BBD1280B-FE07-4C66-868B-1B68B99BD040}" sibTransId="{CE2874AC-55CE-4F1F-B7FC-E7C5A154FCA0}"/>
    <dgm:cxn modelId="{11C8DECC-5E8A-4F1E-93A8-1BC877E920D0}" type="presOf" srcId="{C66EFCF2-7CEA-4649-9B5E-BA81C8BB5859}" destId="{887DBFE0-4ACF-4CC6-92A0-895A508CA6A9}" srcOrd="0" destOrd="0" presId="urn:microsoft.com/office/officeart/2005/8/layout/orgChart1"/>
    <dgm:cxn modelId="{D4C8F4D1-0CAE-4978-B5FE-8FF1D8E1E3A8}" type="presOf" srcId="{A07DC928-C2E0-4045-9993-C0AEECF4A856}" destId="{AF3F8A83-F8BF-4CA9-A47F-4A0FBA0473F1}" srcOrd="0" destOrd="0" presId="urn:microsoft.com/office/officeart/2005/8/layout/orgChart1"/>
    <dgm:cxn modelId="{56B367E8-0562-40B3-8D30-AD0F60F34283}" type="presOf" srcId="{B16B351B-F92E-434D-B2ED-71E24523BE02}" destId="{4C8B9D87-D94F-4856-B3DC-3CB962AECFF8}" srcOrd="1" destOrd="0" presId="urn:microsoft.com/office/officeart/2005/8/layout/orgChart1"/>
    <dgm:cxn modelId="{5F6102EF-F983-4947-BD6B-D99DB8B42535}" type="presOf" srcId="{231164B3-0C1E-4A9B-9C08-A4A44ED72C63}" destId="{476EBCBE-E461-4C23-9C9A-84542CFC9CA6}" srcOrd="0" destOrd="0" presId="urn:microsoft.com/office/officeart/2005/8/layout/orgChart1"/>
    <dgm:cxn modelId="{1D4A75EF-4A27-4160-973F-2ABE4E398AE3}" type="presOf" srcId="{231164B3-0C1E-4A9B-9C08-A4A44ED72C63}" destId="{2B02B33E-D7C5-433C-B90F-A84F645B5FB2}" srcOrd="1" destOrd="0" presId="urn:microsoft.com/office/officeart/2005/8/layout/orgChart1"/>
    <dgm:cxn modelId="{56B070FB-6D56-458C-ADDC-EAFD97D76C24}" srcId="{E4E07E08-0B43-4DE9-B284-877279F919F0}" destId="{5396B857-449B-42DA-92BA-8DAC13386E1B}" srcOrd="2" destOrd="0" parTransId="{49CA6263-C3E0-44C2-A6E1-BF8A491B67CB}" sibTransId="{263C179B-9074-44DB-8D9D-B3CB75AAB21E}"/>
    <dgm:cxn modelId="{D1195FFF-8531-40AE-A5D3-FF9993F48054}" type="presOf" srcId="{407E60D1-8132-45D7-80F0-0A891371E433}" destId="{B778F30D-425E-4F65-BAB2-B0F9AEA47FDF}" srcOrd="1" destOrd="0" presId="urn:microsoft.com/office/officeart/2005/8/layout/orgChart1"/>
    <dgm:cxn modelId="{D204505A-D995-4264-A650-EE6D7A886969}" type="presParOf" srcId="{F172A343-56FC-4E58-BDA7-70DB25770A98}" destId="{87C35148-4447-4809-B718-C8E5D44CE373}" srcOrd="0" destOrd="0" presId="urn:microsoft.com/office/officeart/2005/8/layout/orgChart1"/>
    <dgm:cxn modelId="{E76186D3-BA24-47AD-8D80-8810825295E7}" type="presParOf" srcId="{87C35148-4447-4809-B718-C8E5D44CE373}" destId="{CADE060E-3E2B-4C91-A111-370C12CA1B9E}" srcOrd="0" destOrd="0" presId="urn:microsoft.com/office/officeart/2005/8/layout/orgChart1"/>
    <dgm:cxn modelId="{B41B5E54-EA3E-4FAC-A1B8-872C06129488}" type="presParOf" srcId="{CADE060E-3E2B-4C91-A111-370C12CA1B9E}" destId="{AF3F8A83-F8BF-4CA9-A47F-4A0FBA0473F1}" srcOrd="0" destOrd="0" presId="urn:microsoft.com/office/officeart/2005/8/layout/orgChart1"/>
    <dgm:cxn modelId="{167EA949-F98A-4942-81EC-91DD668F4CDC}" type="presParOf" srcId="{CADE060E-3E2B-4C91-A111-370C12CA1B9E}" destId="{021566B7-54FB-4B11-A36B-28B02DE0CF53}" srcOrd="1" destOrd="0" presId="urn:microsoft.com/office/officeart/2005/8/layout/orgChart1"/>
    <dgm:cxn modelId="{8BEBCBEA-3398-404A-BC8A-61FB6CF2AD93}" type="presParOf" srcId="{87C35148-4447-4809-B718-C8E5D44CE373}" destId="{A1CC2890-9A6D-4056-8406-48B1932A5171}" srcOrd="1" destOrd="0" presId="urn:microsoft.com/office/officeart/2005/8/layout/orgChart1"/>
    <dgm:cxn modelId="{574DD68E-FE17-4C17-AA27-4AFEF83B5166}" type="presParOf" srcId="{A1CC2890-9A6D-4056-8406-48B1932A5171}" destId="{88B74A10-592B-484C-B5A5-5BFFC47F5ADC}" srcOrd="0" destOrd="0" presId="urn:microsoft.com/office/officeart/2005/8/layout/orgChart1"/>
    <dgm:cxn modelId="{0862E5D9-AD01-4DB1-B4D8-D04373D3D455}" type="presParOf" srcId="{A1CC2890-9A6D-4056-8406-48B1932A5171}" destId="{3735797B-8491-43CD-B2C3-9A94437494E5}" srcOrd="1" destOrd="0" presId="urn:microsoft.com/office/officeart/2005/8/layout/orgChart1"/>
    <dgm:cxn modelId="{696EB9E1-A559-42EB-8886-310131D989B7}" type="presParOf" srcId="{3735797B-8491-43CD-B2C3-9A94437494E5}" destId="{2B3AC518-43A7-44C8-ACAF-32933DA7CC18}" srcOrd="0" destOrd="0" presId="urn:microsoft.com/office/officeart/2005/8/layout/orgChart1"/>
    <dgm:cxn modelId="{3901FA65-100B-4888-8363-87A0088BC66D}" type="presParOf" srcId="{2B3AC518-43A7-44C8-ACAF-32933DA7CC18}" destId="{909E7374-5D35-4741-BED3-AB47C5E01242}" srcOrd="0" destOrd="0" presId="urn:microsoft.com/office/officeart/2005/8/layout/orgChart1"/>
    <dgm:cxn modelId="{414C3529-5585-423D-A26A-6DF998D7EDCB}" type="presParOf" srcId="{2B3AC518-43A7-44C8-ACAF-32933DA7CC18}" destId="{6E18A9D6-BE51-44AD-A5CB-E81ADD2DEAF1}" srcOrd="1" destOrd="0" presId="urn:microsoft.com/office/officeart/2005/8/layout/orgChart1"/>
    <dgm:cxn modelId="{1AE136F5-2801-478C-94C9-F4AAC65D9E26}" type="presParOf" srcId="{3735797B-8491-43CD-B2C3-9A94437494E5}" destId="{AE3A4D0C-5557-42F5-94EF-2AB3EE57146A}" srcOrd="1" destOrd="0" presId="urn:microsoft.com/office/officeart/2005/8/layout/orgChart1"/>
    <dgm:cxn modelId="{14BE651B-BD4C-45A1-ADC2-44A3C031CB26}" type="presParOf" srcId="{AE3A4D0C-5557-42F5-94EF-2AB3EE57146A}" destId="{5044A669-8FAD-4708-9CEF-46F9C8162EBA}" srcOrd="0" destOrd="0" presId="urn:microsoft.com/office/officeart/2005/8/layout/orgChart1"/>
    <dgm:cxn modelId="{1825B944-E72B-4939-AB93-911791768AC4}" type="presParOf" srcId="{AE3A4D0C-5557-42F5-94EF-2AB3EE57146A}" destId="{E1E6A40F-FA81-4AA7-BD6E-516F8E4623BB}" srcOrd="1" destOrd="0" presId="urn:microsoft.com/office/officeart/2005/8/layout/orgChart1"/>
    <dgm:cxn modelId="{2FC37DD7-52D1-4F1A-8E4A-A865407E0647}" type="presParOf" srcId="{E1E6A40F-FA81-4AA7-BD6E-516F8E4623BB}" destId="{A9386AA7-9694-48A7-B57A-29682CE5315F}" srcOrd="0" destOrd="0" presId="urn:microsoft.com/office/officeart/2005/8/layout/orgChart1"/>
    <dgm:cxn modelId="{9DE80986-FE00-4681-9D16-547D3582667E}" type="presParOf" srcId="{A9386AA7-9694-48A7-B57A-29682CE5315F}" destId="{476EBCBE-E461-4C23-9C9A-84542CFC9CA6}" srcOrd="0" destOrd="0" presId="urn:microsoft.com/office/officeart/2005/8/layout/orgChart1"/>
    <dgm:cxn modelId="{9F7143B3-F3F2-44D0-B71C-228ACA393633}" type="presParOf" srcId="{A9386AA7-9694-48A7-B57A-29682CE5315F}" destId="{2B02B33E-D7C5-433C-B90F-A84F645B5FB2}" srcOrd="1" destOrd="0" presId="urn:microsoft.com/office/officeart/2005/8/layout/orgChart1"/>
    <dgm:cxn modelId="{E0E63B01-DC37-4854-A299-F344220B2BCA}" type="presParOf" srcId="{E1E6A40F-FA81-4AA7-BD6E-516F8E4623BB}" destId="{1B2E9AA6-83A7-4FE7-9853-F2BBBC928762}" srcOrd="1" destOrd="0" presId="urn:microsoft.com/office/officeart/2005/8/layout/orgChart1"/>
    <dgm:cxn modelId="{5D23A829-1AD9-44A0-B5EE-FA5589C77546}" type="presParOf" srcId="{E1E6A40F-FA81-4AA7-BD6E-516F8E4623BB}" destId="{E1DD0FC5-E839-4AE1-BDE8-2F911011C2FA}" srcOrd="2" destOrd="0" presId="urn:microsoft.com/office/officeart/2005/8/layout/orgChart1"/>
    <dgm:cxn modelId="{043EDCCA-FCC5-4747-A446-9D7FC88170F1}" type="presParOf" srcId="{AE3A4D0C-5557-42F5-94EF-2AB3EE57146A}" destId="{7A5CA0F0-3680-48DA-96C5-8109004E4B14}" srcOrd="2" destOrd="0" presId="urn:microsoft.com/office/officeart/2005/8/layout/orgChart1"/>
    <dgm:cxn modelId="{933B6E5D-8102-48F9-803A-EC30005F4C14}" type="presParOf" srcId="{AE3A4D0C-5557-42F5-94EF-2AB3EE57146A}" destId="{FC1B1046-16C5-465C-8324-77DC0049FAB1}" srcOrd="3" destOrd="0" presId="urn:microsoft.com/office/officeart/2005/8/layout/orgChart1"/>
    <dgm:cxn modelId="{5FD1CBC6-02C5-46CC-9781-B5461EA783E8}" type="presParOf" srcId="{FC1B1046-16C5-465C-8324-77DC0049FAB1}" destId="{5E488188-B242-4A02-A4A6-7C96FA736766}" srcOrd="0" destOrd="0" presId="urn:microsoft.com/office/officeart/2005/8/layout/orgChart1"/>
    <dgm:cxn modelId="{414C08B0-FBBD-414D-99A2-935D2C1D9C97}" type="presParOf" srcId="{5E488188-B242-4A02-A4A6-7C96FA736766}" destId="{135737A5-F209-4B90-A95B-9171FBD22361}" srcOrd="0" destOrd="0" presId="urn:microsoft.com/office/officeart/2005/8/layout/orgChart1"/>
    <dgm:cxn modelId="{07604A96-F527-4CC8-982B-26124D5B6C27}" type="presParOf" srcId="{5E488188-B242-4A02-A4A6-7C96FA736766}" destId="{B778F30D-425E-4F65-BAB2-B0F9AEA47FDF}" srcOrd="1" destOrd="0" presId="urn:microsoft.com/office/officeart/2005/8/layout/orgChart1"/>
    <dgm:cxn modelId="{4329CF8C-AB33-4A97-AC6C-AD28A20D678F}" type="presParOf" srcId="{FC1B1046-16C5-465C-8324-77DC0049FAB1}" destId="{364DCE14-7391-4BDF-94F4-26D1FB4E9627}" srcOrd="1" destOrd="0" presId="urn:microsoft.com/office/officeart/2005/8/layout/orgChart1"/>
    <dgm:cxn modelId="{6BAE91D1-E51D-44AD-ADB2-8962F526E402}" type="presParOf" srcId="{FC1B1046-16C5-465C-8324-77DC0049FAB1}" destId="{360298D4-5B4C-466C-909F-EE95382E333F}" srcOrd="2" destOrd="0" presId="urn:microsoft.com/office/officeart/2005/8/layout/orgChart1"/>
    <dgm:cxn modelId="{77A65B74-ED65-4339-99C2-23C4E28B33E0}" type="presParOf" srcId="{AE3A4D0C-5557-42F5-94EF-2AB3EE57146A}" destId="{F20FC35F-2BAF-47E1-A5BB-062158034882}" srcOrd="4" destOrd="0" presId="urn:microsoft.com/office/officeart/2005/8/layout/orgChart1"/>
    <dgm:cxn modelId="{7B7F663F-9C12-4326-B546-6B21F37D141B}" type="presParOf" srcId="{AE3A4D0C-5557-42F5-94EF-2AB3EE57146A}" destId="{51BDB067-5276-469D-8754-853C0577710B}" srcOrd="5" destOrd="0" presId="urn:microsoft.com/office/officeart/2005/8/layout/orgChart1"/>
    <dgm:cxn modelId="{E38F7A0D-1772-4185-8D61-CC0366F14D5A}" type="presParOf" srcId="{51BDB067-5276-469D-8754-853C0577710B}" destId="{05F89438-8FD3-4419-9B95-E6DA89456F77}" srcOrd="0" destOrd="0" presId="urn:microsoft.com/office/officeart/2005/8/layout/orgChart1"/>
    <dgm:cxn modelId="{72724974-6DF1-46AA-9929-BCF9D450EF89}" type="presParOf" srcId="{05F89438-8FD3-4419-9B95-E6DA89456F77}" destId="{1EB3158A-354F-4344-B517-C3644AAF5321}" srcOrd="0" destOrd="0" presId="urn:microsoft.com/office/officeart/2005/8/layout/orgChart1"/>
    <dgm:cxn modelId="{D6FE97DE-BA2A-4B98-BF57-157D4CF911BD}" type="presParOf" srcId="{05F89438-8FD3-4419-9B95-E6DA89456F77}" destId="{4C8B9D87-D94F-4856-B3DC-3CB962AECFF8}" srcOrd="1" destOrd="0" presId="urn:microsoft.com/office/officeart/2005/8/layout/orgChart1"/>
    <dgm:cxn modelId="{54DE0135-CFFB-4FB5-8FB6-C867BADD61C5}" type="presParOf" srcId="{51BDB067-5276-469D-8754-853C0577710B}" destId="{006724A4-604C-4332-A61A-DC13534C1DFD}" srcOrd="1" destOrd="0" presId="urn:microsoft.com/office/officeart/2005/8/layout/orgChart1"/>
    <dgm:cxn modelId="{72DBAC92-3669-46E8-8698-3DD11FC7AF65}" type="presParOf" srcId="{51BDB067-5276-469D-8754-853C0577710B}" destId="{C359C649-D349-44D6-9732-CEAC85C9EE95}" srcOrd="2" destOrd="0" presId="urn:microsoft.com/office/officeart/2005/8/layout/orgChart1"/>
    <dgm:cxn modelId="{C762A693-7BB1-419D-BEFF-FD301AE986A1}" type="presParOf" srcId="{3735797B-8491-43CD-B2C3-9A94437494E5}" destId="{3CC24F7E-BDE9-42C1-9477-3D87C719E485}" srcOrd="2" destOrd="0" presId="urn:microsoft.com/office/officeart/2005/8/layout/orgChart1"/>
    <dgm:cxn modelId="{4E3F1121-7D20-44E7-B7B0-571CAAA82529}" type="presParOf" srcId="{A1CC2890-9A6D-4056-8406-48B1932A5171}" destId="{887DBFE0-4ACF-4CC6-92A0-895A508CA6A9}" srcOrd="2" destOrd="0" presId="urn:microsoft.com/office/officeart/2005/8/layout/orgChart1"/>
    <dgm:cxn modelId="{237E6ADB-F6D2-4274-8242-A327A4BA0187}" type="presParOf" srcId="{A1CC2890-9A6D-4056-8406-48B1932A5171}" destId="{6FD170F9-014C-47FB-BF74-B550BB0EF9C4}" srcOrd="3" destOrd="0" presId="urn:microsoft.com/office/officeart/2005/8/layout/orgChart1"/>
    <dgm:cxn modelId="{156394B0-2ED5-49B9-8743-FD9C8529D6BB}" type="presParOf" srcId="{6FD170F9-014C-47FB-BF74-B550BB0EF9C4}" destId="{3F816D2B-9795-4B22-840F-FC47D6A56545}" srcOrd="0" destOrd="0" presId="urn:microsoft.com/office/officeart/2005/8/layout/orgChart1"/>
    <dgm:cxn modelId="{F04EC45D-0F96-4650-ACBB-5DCA59AD3BAB}" type="presParOf" srcId="{3F816D2B-9795-4B22-840F-FC47D6A56545}" destId="{6F3F4925-07E2-48C1-B609-11088F5175DD}" srcOrd="0" destOrd="0" presId="urn:microsoft.com/office/officeart/2005/8/layout/orgChart1"/>
    <dgm:cxn modelId="{4977994A-08F5-4D23-92D4-728AEACCF6A6}" type="presParOf" srcId="{3F816D2B-9795-4B22-840F-FC47D6A56545}" destId="{FAA9F014-421B-4604-8762-92D8AA3BB7B9}" srcOrd="1" destOrd="0" presId="urn:microsoft.com/office/officeart/2005/8/layout/orgChart1"/>
    <dgm:cxn modelId="{193F7755-574A-45D4-BCD7-537429989A2E}" type="presParOf" srcId="{6FD170F9-014C-47FB-BF74-B550BB0EF9C4}" destId="{A157C252-1586-48B0-936D-66751BB9B058}" srcOrd="1" destOrd="0" presId="urn:microsoft.com/office/officeart/2005/8/layout/orgChart1"/>
    <dgm:cxn modelId="{1C0F0309-246D-4614-BD52-9E9AB7F33D34}" type="presParOf" srcId="{A157C252-1586-48B0-936D-66751BB9B058}" destId="{04A7D9B0-102A-4B25-BA45-4CB53A30F751}" srcOrd="0" destOrd="0" presId="urn:microsoft.com/office/officeart/2005/8/layout/orgChart1"/>
    <dgm:cxn modelId="{D803F56E-8566-43E6-B7AE-541DFD0C896B}" type="presParOf" srcId="{A157C252-1586-48B0-936D-66751BB9B058}" destId="{0CBC1CB8-3DC2-49F7-9FFB-F707D5FE1904}" srcOrd="1" destOrd="0" presId="urn:microsoft.com/office/officeart/2005/8/layout/orgChart1"/>
    <dgm:cxn modelId="{FCF1362B-0733-44D9-84BC-FA4D18F59302}" type="presParOf" srcId="{0CBC1CB8-3DC2-49F7-9FFB-F707D5FE1904}" destId="{25C59AFB-2020-4424-A809-2AC2EC3EAB75}" srcOrd="0" destOrd="0" presId="urn:microsoft.com/office/officeart/2005/8/layout/orgChart1"/>
    <dgm:cxn modelId="{2F47223E-62BB-4E2E-B8A4-3796D691136F}" type="presParOf" srcId="{25C59AFB-2020-4424-A809-2AC2EC3EAB75}" destId="{9582B8F0-5AC6-4780-82CE-E7021459A554}" srcOrd="0" destOrd="0" presId="urn:microsoft.com/office/officeart/2005/8/layout/orgChart1"/>
    <dgm:cxn modelId="{4404F67D-3BDA-4531-A80E-A42762423598}" type="presParOf" srcId="{25C59AFB-2020-4424-A809-2AC2EC3EAB75}" destId="{133E0D8C-6834-4C82-BD11-D4214B05B8C0}" srcOrd="1" destOrd="0" presId="urn:microsoft.com/office/officeart/2005/8/layout/orgChart1"/>
    <dgm:cxn modelId="{A4E3122C-3D7F-4ED7-B050-E5F1511A19BE}" type="presParOf" srcId="{0CBC1CB8-3DC2-49F7-9FFB-F707D5FE1904}" destId="{3F8B5972-0A65-40B5-AD47-6E30C16A0E59}" srcOrd="1" destOrd="0" presId="urn:microsoft.com/office/officeart/2005/8/layout/orgChart1"/>
    <dgm:cxn modelId="{2C328EE4-B15C-4C38-AA12-0934AC2EFC06}" type="presParOf" srcId="{0CBC1CB8-3DC2-49F7-9FFB-F707D5FE1904}" destId="{1B2719CE-6280-46FC-A561-1DD3D72626DC}" srcOrd="2" destOrd="0" presId="urn:microsoft.com/office/officeart/2005/8/layout/orgChart1"/>
    <dgm:cxn modelId="{1DC22DC0-CC45-45AE-BA34-88E12E1E10E2}" type="presParOf" srcId="{A157C252-1586-48B0-936D-66751BB9B058}" destId="{E34E4469-C4D4-492D-AAC3-7455852064D6}" srcOrd="2" destOrd="0" presId="urn:microsoft.com/office/officeart/2005/8/layout/orgChart1"/>
    <dgm:cxn modelId="{2F658E68-7FC1-4EE0-9090-4F0A7FFE617F}" type="presParOf" srcId="{A157C252-1586-48B0-936D-66751BB9B058}" destId="{56DED8FC-ED38-46A1-8ECD-BF4F264FAC80}" srcOrd="3" destOrd="0" presId="urn:microsoft.com/office/officeart/2005/8/layout/orgChart1"/>
    <dgm:cxn modelId="{128B1467-A497-4E22-841E-72947746768E}" type="presParOf" srcId="{56DED8FC-ED38-46A1-8ECD-BF4F264FAC80}" destId="{6CF965D2-22F2-4556-9739-88691A8B4313}" srcOrd="0" destOrd="0" presId="urn:microsoft.com/office/officeart/2005/8/layout/orgChart1"/>
    <dgm:cxn modelId="{9D07A6A2-4416-45B6-AE87-233FF25A2744}" type="presParOf" srcId="{6CF965D2-22F2-4556-9739-88691A8B4313}" destId="{84C925DB-8C98-4DF8-A4A5-B6EEB66F17FC}" srcOrd="0" destOrd="0" presId="urn:microsoft.com/office/officeart/2005/8/layout/orgChart1"/>
    <dgm:cxn modelId="{13C1B1E0-7BF2-4E2D-94E6-E3B0887152E5}" type="presParOf" srcId="{6CF965D2-22F2-4556-9739-88691A8B4313}" destId="{DE066E35-A834-4F6C-A805-C65DA63061E2}" srcOrd="1" destOrd="0" presId="urn:microsoft.com/office/officeart/2005/8/layout/orgChart1"/>
    <dgm:cxn modelId="{920BAFC0-2EB1-464C-B175-EF88B6BCCB61}" type="presParOf" srcId="{56DED8FC-ED38-46A1-8ECD-BF4F264FAC80}" destId="{6C588547-B647-4D0A-969B-7206DD0E8ACD}" srcOrd="1" destOrd="0" presId="urn:microsoft.com/office/officeart/2005/8/layout/orgChart1"/>
    <dgm:cxn modelId="{7573564C-48CE-4FB4-919D-AC10B5DD0EE9}" type="presParOf" srcId="{56DED8FC-ED38-46A1-8ECD-BF4F264FAC80}" destId="{C98BED25-4DF1-409A-AD53-BF1C7FF5E8F4}" srcOrd="2" destOrd="0" presId="urn:microsoft.com/office/officeart/2005/8/layout/orgChart1"/>
    <dgm:cxn modelId="{A2DC18D7-57A4-45A5-817D-56C92350E7D1}" type="presParOf" srcId="{A157C252-1586-48B0-936D-66751BB9B058}" destId="{4AEB4AE1-6000-4362-BED7-18979AD1CFC4}" srcOrd="4" destOrd="0" presId="urn:microsoft.com/office/officeart/2005/8/layout/orgChart1"/>
    <dgm:cxn modelId="{F1736CBF-BB9C-4FE1-BC34-27A041EF4D64}" type="presParOf" srcId="{A157C252-1586-48B0-936D-66751BB9B058}" destId="{43A17C51-144D-4754-B3E4-5171BFFB93FC}" srcOrd="5" destOrd="0" presId="urn:microsoft.com/office/officeart/2005/8/layout/orgChart1"/>
    <dgm:cxn modelId="{C091F323-B3D3-479D-9CB2-73277D8BB968}" type="presParOf" srcId="{43A17C51-144D-4754-B3E4-5171BFFB93FC}" destId="{3777D7F1-2E6D-4657-B109-B1FCF697C2A2}" srcOrd="0" destOrd="0" presId="urn:microsoft.com/office/officeart/2005/8/layout/orgChart1"/>
    <dgm:cxn modelId="{F1AB2DD0-DAB5-4764-BF82-D3955FBFB948}" type="presParOf" srcId="{3777D7F1-2E6D-4657-B109-B1FCF697C2A2}" destId="{AF9A6074-23E3-4C97-82D5-53CB762AA937}" srcOrd="0" destOrd="0" presId="urn:microsoft.com/office/officeart/2005/8/layout/orgChart1"/>
    <dgm:cxn modelId="{6B6A5C72-D2FB-4B18-9156-0A7FD611661E}" type="presParOf" srcId="{3777D7F1-2E6D-4657-B109-B1FCF697C2A2}" destId="{A97B7F5D-1DAB-4192-BBFF-DAC2A998400C}" srcOrd="1" destOrd="0" presId="urn:microsoft.com/office/officeart/2005/8/layout/orgChart1"/>
    <dgm:cxn modelId="{9E7CAB4F-89C5-442A-92F8-A158ED465660}" type="presParOf" srcId="{43A17C51-144D-4754-B3E4-5171BFFB93FC}" destId="{DF9759F4-C5C5-4810-BA5E-1FCB212DC153}" srcOrd="1" destOrd="0" presId="urn:microsoft.com/office/officeart/2005/8/layout/orgChart1"/>
    <dgm:cxn modelId="{FC62B49A-B986-46D9-A1B5-9DBD980EBA04}" type="presParOf" srcId="{43A17C51-144D-4754-B3E4-5171BFFB93FC}" destId="{B087A19A-8F9A-4041-99CA-37C6973989C1}" srcOrd="2" destOrd="0" presId="urn:microsoft.com/office/officeart/2005/8/layout/orgChart1"/>
    <dgm:cxn modelId="{EB8C639A-2F29-45AB-9F7B-55B1042FADFA}" type="presParOf" srcId="{6FD170F9-014C-47FB-BF74-B550BB0EF9C4}" destId="{EF0F817D-3F57-4DAB-BC06-EE532437E449}" srcOrd="2" destOrd="0" presId="urn:microsoft.com/office/officeart/2005/8/layout/orgChart1"/>
    <dgm:cxn modelId="{345BB407-75C2-4285-A633-092C4549307B}" type="presParOf" srcId="{A1CC2890-9A6D-4056-8406-48B1932A5171}" destId="{7F71F85B-CF5E-46BC-96AC-62B7AF135550}" srcOrd="4" destOrd="0" presId="urn:microsoft.com/office/officeart/2005/8/layout/orgChart1"/>
    <dgm:cxn modelId="{311A5419-660D-454B-A99F-BCF7791C6027}" type="presParOf" srcId="{A1CC2890-9A6D-4056-8406-48B1932A5171}" destId="{8CE0B74B-053F-4656-A7E7-5F69808FAE69}" srcOrd="5" destOrd="0" presId="urn:microsoft.com/office/officeart/2005/8/layout/orgChart1"/>
    <dgm:cxn modelId="{366213A6-157B-46FD-B9BD-31372C4F0606}" type="presParOf" srcId="{8CE0B74B-053F-4656-A7E7-5F69808FAE69}" destId="{42C80B1E-6C42-40FF-B5D0-E01B2A55A829}" srcOrd="0" destOrd="0" presId="urn:microsoft.com/office/officeart/2005/8/layout/orgChart1"/>
    <dgm:cxn modelId="{1F561131-C3BF-4E51-B519-7E11D6BC1D11}" type="presParOf" srcId="{42C80B1E-6C42-40FF-B5D0-E01B2A55A829}" destId="{9F001196-B294-4AF4-8F8D-9890207D3B5F}" srcOrd="0" destOrd="0" presId="urn:microsoft.com/office/officeart/2005/8/layout/orgChart1"/>
    <dgm:cxn modelId="{87E881EB-A2A9-45B3-8818-FF3DF7ED9CB7}" type="presParOf" srcId="{42C80B1E-6C42-40FF-B5D0-E01B2A55A829}" destId="{25F0CF54-7694-4AF9-9E77-D8CE059DEA8A}" srcOrd="1" destOrd="0" presId="urn:microsoft.com/office/officeart/2005/8/layout/orgChart1"/>
    <dgm:cxn modelId="{11211383-D00E-4236-9CF6-44D0534EEA59}" type="presParOf" srcId="{8CE0B74B-053F-4656-A7E7-5F69808FAE69}" destId="{80338AD0-ECA1-4330-976F-FA3CE3FDAEDE}" srcOrd="1" destOrd="0" presId="urn:microsoft.com/office/officeart/2005/8/layout/orgChart1"/>
    <dgm:cxn modelId="{24FFB435-43C6-43E6-B524-DCF571AF82B8}" type="presParOf" srcId="{80338AD0-ECA1-4330-976F-FA3CE3FDAEDE}" destId="{B80DC896-39FB-46B2-AAEC-F3B2069933F7}" srcOrd="0" destOrd="0" presId="urn:microsoft.com/office/officeart/2005/8/layout/orgChart1"/>
    <dgm:cxn modelId="{C2A3C6F9-66EC-4341-A428-4405966A951B}" type="presParOf" srcId="{80338AD0-ECA1-4330-976F-FA3CE3FDAEDE}" destId="{2F5EDBF0-36FD-4A6B-B783-32CDFDFF8620}" srcOrd="1" destOrd="0" presId="urn:microsoft.com/office/officeart/2005/8/layout/orgChart1"/>
    <dgm:cxn modelId="{53905930-AC74-4EF3-A078-EE737EA6FC48}" type="presParOf" srcId="{2F5EDBF0-36FD-4A6B-B783-32CDFDFF8620}" destId="{222CAEFA-C638-4247-AB90-5DB3FD6E54C1}" srcOrd="0" destOrd="0" presId="urn:microsoft.com/office/officeart/2005/8/layout/orgChart1"/>
    <dgm:cxn modelId="{9FC9C9B6-8B7D-4619-8471-853DC08F9C6C}" type="presParOf" srcId="{222CAEFA-C638-4247-AB90-5DB3FD6E54C1}" destId="{0A148E9D-A343-4E73-8F9C-703B084F2FBA}" srcOrd="0" destOrd="0" presId="urn:microsoft.com/office/officeart/2005/8/layout/orgChart1"/>
    <dgm:cxn modelId="{636396D6-01A8-4E9F-902F-16CCFD919B55}" type="presParOf" srcId="{222CAEFA-C638-4247-AB90-5DB3FD6E54C1}" destId="{3C5C3204-BF3C-4052-9872-ED215C5E4489}" srcOrd="1" destOrd="0" presId="urn:microsoft.com/office/officeart/2005/8/layout/orgChart1"/>
    <dgm:cxn modelId="{1DD78002-3E59-4B58-864F-5CFEA053A886}" type="presParOf" srcId="{2F5EDBF0-36FD-4A6B-B783-32CDFDFF8620}" destId="{323EDB45-1715-47E8-B8ED-5F0979DF6DEB}" srcOrd="1" destOrd="0" presId="urn:microsoft.com/office/officeart/2005/8/layout/orgChart1"/>
    <dgm:cxn modelId="{9B0572A6-6655-4928-B339-6875FE49C3AC}" type="presParOf" srcId="{2F5EDBF0-36FD-4A6B-B783-32CDFDFF8620}" destId="{6F8BA309-858D-4ACD-B0E6-90DADB32CEF9}" srcOrd="2" destOrd="0" presId="urn:microsoft.com/office/officeart/2005/8/layout/orgChart1"/>
    <dgm:cxn modelId="{E0248242-4EFA-4BE0-959B-6789C82D9A85}" type="presParOf" srcId="{80338AD0-ECA1-4330-976F-FA3CE3FDAEDE}" destId="{08943FDE-A392-48AC-B25B-2ED21C000E31}" srcOrd="2" destOrd="0" presId="urn:microsoft.com/office/officeart/2005/8/layout/orgChart1"/>
    <dgm:cxn modelId="{CE44E319-D155-4A1A-BFEE-9C32BCA0A134}" type="presParOf" srcId="{80338AD0-ECA1-4330-976F-FA3CE3FDAEDE}" destId="{B4B9672B-64E7-4325-BB95-871626BCAD98}" srcOrd="3" destOrd="0" presId="urn:microsoft.com/office/officeart/2005/8/layout/orgChart1"/>
    <dgm:cxn modelId="{DDF875BA-81F0-4958-85F6-B669966ABE30}" type="presParOf" srcId="{B4B9672B-64E7-4325-BB95-871626BCAD98}" destId="{F59575A7-1D37-4C95-AA18-329EAFDFAF6E}" srcOrd="0" destOrd="0" presId="urn:microsoft.com/office/officeart/2005/8/layout/orgChart1"/>
    <dgm:cxn modelId="{B99EAAD0-D18F-438E-981E-81F1FED36EE2}" type="presParOf" srcId="{F59575A7-1D37-4C95-AA18-329EAFDFAF6E}" destId="{E3AAC145-5E8E-443A-9AF2-D4ACE0673FB4}" srcOrd="0" destOrd="0" presId="urn:microsoft.com/office/officeart/2005/8/layout/orgChart1"/>
    <dgm:cxn modelId="{01359D78-2244-4ED2-A91F-E4ECDDBDAC64}" type="presParOf" srcId="{F59575A7-1D37-4C95-AA18-329EAFDFAF6E}" destId="{D83C493B-3313-451E-88BA-B6A39715CF6B}" srcOrd="1" destOrd="0" presId="urn:microsoft.com/office/officeart/2005/8/layout/orgChart1"/>
    <dgm:cxn modelId="{CD30C075-3655-410F-9248-BC22511B2035}" type="presParOf" srcId="{B4B9672B-64E7-4325-BB95-871626BCAD98}" destId="{AB4C62DF-9E45-4652-AAC7-2D6077487AB6}" srcOrd="1" destOrd="0" presId="urn:microsoft.com/office/officeart/2005/8/layout/orgChart1"/>
    <dgm:cxn modelId="{560108B6-2F3E-4369-BE42-4DB698E5FD8C}" type="presParOf" srcId="{B4B9672B-64E7-4325-BB95-871626BCAD98}" destId="{F27674B6-03C7-4D37-8CDB-B535AE434A4D}" srcOrd="2" destOrd="0" presId="urn:microsoft.com/office/officeart/2005/8/layout/orgChart1"/>
    <dgm:cxn modelId="{332E4C93-5F06-4BD3-8F32-BFFCF786F1D3}" type="presParOf" srcId="{80338AD0-ECA1-4330-976F-FA3CE3FDAEDE}" destId="{B9BBDDD3-D6F4-4BBB-977E-0445AF305C3F}" srcOrd="4" destOrd="0" presId="urn:microsoft.com/office/officeart/2005/8/layout/orgChart1"/>
    <dgm:cxn modelId="{1823A4C8-FB89-4C47-BD58-C94424728BA2}" type="presParOf" srcId="{80338AD0-ECA1-4330-976F-FA3CE3FDAEDE}" destId="{37E1CC5F-80AD-45FB-873E-B0DCD57997F3}" srcOrd="5" destOrd="0" presId="urn:microsoft.com/office/officeart/2005/8/layout/orgChart1"/>
    <dgm:cxn modelId="{F1457360-CFB3-4E13-91F7-616EC0DA4D02}" type="presParOf" srcId="{37E1CC5F-80AD-45FB-873E-B0DCD57997F3}" destId="{0F347529-A896-40F5-A34F-0F0AEEC109A0}" srcOrd="0" destOrd="0" presId="urn:microsoft.com/office/officeart/2005/8/layout/orgChart1"/>
    <dgm:cxn modelId="{F4A55153-A9D3-456E-9B35-95FEF09827DC}" type="presParOf" srcId="{0F347529-A896-40F5-A34F-0F0AEEC109A0}" destId="{8BE5D0AA-BE36-4930-A7AD-41F38C99368F}" srcOrd="0" destOrd="0" presId="urn:microsoft.com/office/officeart/2005/8/layout/orgChart1"/>
    <dgm:cxn modelId="{1069E16E-F3E4-47E8-8678-1DBD6A567C83}" type="presParOf" srcId="{0F347529-A896-40F5-A34F-0F0AEEC109A0}" destId="{6919BC3A-BB1B-442F-AF43-EE82D3FEFDB1}" srcOrd="1" destOrd="0" presId="urn:microsoft.com/office/officeart/2005/8/layout/orgChart1"/>
    <dgm:cxn modelId="{83B967BB-06BB-4912-A0ED-BC00E8762489}" type="presParOf" srcId="{37E1CC5F-80AD-45FB-873E-B0DCD57997F3}" destId="{2C466D0F-A32A-4992-8016-5F891C2267D3}" srcOrd="1" destOrd="0" presId="urn:microsoft.com/office/officeart/2005/8/layout/orgChart1"/>
    <dgm:cxn modelId="{6D06A83E-F657-46C8-B4B6-F7162B2D7A41}" type="presParOf" srcId="{37E1CC5F-80AD-45FB-873E-B0DCD57997F3}" destId="{73231940-A0B0-4F7D-8309-24B1D9204E23}" srcOrd="2" destOrd="0" presId="urn:microsoft.com/office/officeart/2005/8/layout/orgChart1"/>
    <dgm:cxn modelId="{38A220EE-133C-4AB2-84F8-3436C09184DA}" type="presParOf" srcId="{8CE0B74B-053F-4656-A7E7-5F69808FAE69}" destId="{3FE11BE8-1732-45B6-B3D3-538D936706CA}" srcOrd="2" destOrd="0" presId="urn:microsoft.com/office/officeart/2005/8/layout/orgChart1"/>
    <dgm:cxn modelId="{80C4A144-37FE-4F69-AFF8-6E140052A080}" type="presParOf" srcId="{87C35148-4447-4809-B718-C8E5D44CE373}" destId="{35B47A05-F3D1-4E64-AAF6-C8A8D5C4794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BBDDD3-D6F4-4BBB-977E-0445AF305C3F}">
      <dsp:nvSpPr>
        <dsp:cNvPr id="0" name=""/>
        <dsp:cNvSpPr/>
      </dsp:nvSpPr>
      <dsp:spPr>
        <a:xfrm>
          <a:off x="3454856" y="1105514"/>
          <a:ext cx="178339" cy="1665490"/>
        </a:xfrm>
        <a:custGeom>
          <a:avLst/>
          <a:gdLst/>
          <a:ahLst/>
          <a:cxnLst/>
          <a:rect l="0" t="0" r="0" b="0"/>
          <a:pathLst>
            <a:path>
              <a:moveTo>
                <a:pt x="0" y="0"/>
              </a:moveTo>
              <a:lnTo>
                <a:pt x="0" y="1665490"/>
              </a:lnTo>
              <a:lnTo>
                <a:pt x="178339" y="166549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08943FDE-A392-48AC-B25B-2ED21C000E31}">
      <dsp:nvSpPr>
        <dsp:cNvPr id="0" name=""/>
        <dsp:cNvSpPr/>
      </dsp:nvSpPr>
      <dsp:spPr>
        <a:xfrm>
          <a:off x="3454856" y="1105514"/>
          <a:ext cx="178339" cy="1048041"/>
        </a:xfrm>
        <a:custGeom>
          <a:avLst/>
          <a:gdLst/>
          <a:ahLst/>
          <a:cxnLst/>
          <a:rect l="0" t="0" r="0" b="0"/>
          <a:pathLst>
            <a:path>
              <a:moveTo>
                <a:pt x="0" y="0"/>
              </a:moveTo>
              <a:lnTo>
                <a:pt x="0" y="1048041"/>
              </a:lnTo>
              <a:lnTo>
                <a:pt x="178339"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B80DC896-39FB-46B2-AAEC-F3B2069933F7}">
      <dsp:nvSpPr>
        <dsp:cNvPr id="0" name=""/>
        <dsp:cNvSpPr/>
      </dsp:nvSpPr>
      <dsp:spPr>
        <a:xfrm>
          <a:off x="3454856" y="1105514"/>
          <a:ext cx="178339" cy="412050"/>
        </a:xfrm>
        <a:custGeom>
          <a:avLst/>
          <a:gdLst/>
          <a:ahLst/>
          <a:cxnLst/>
          <a:rect l="0" t="0" r="0" b="0"/>
          <a:pathLst>
            <a:path>
              <a:moveTo>
                <a:pt x="0" y="0"/>
              </a:moveTo>
              <a:lnTo>
                <a:pt x="0" y="412050"/>
              </a:lnTo>
              <a:lnTo>
                <a:pt x="178339"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7F71F85B-CF5E-46BC-96AC-62B7AF135550}">
      <dsp:nvSpPr>
        <dsp:cNvPr id="0" name=""/>
        <dsp:cNvSpPr/>
      </dsp:nvSpPr>
      <dsp:spPr>
        <a:xfrm>
          <a:off x="2305910" y="469026"/>
          <a:ext cx="1639530" cy="188607"/>
        </a:xfrm>
        <a:custGeom>
          <a:avLst/>
          <a:gdLst/>
          <a:ahLst/>
          <a:cxnLst/>
          <a:rect l="0" t="0" r="0" b="0"/>
          <a:pathLst>
            <a:path>
              <a:moveTo>
                <a:pt x="0" y="0"/>
              </a:moveTo>
              <a:lnTo>
                <a:pt x="0" y="94552"/>
              </a:lnTo>
              <a:lnTo>
                <a:pt x="1639530" y="94552"/>
              </a:lnTo>
              <a:lnTo>
                <a:pt x="1639530" y="188607"/>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4AEB4AE1-6000-4362-BED7-18979AD1CFC4}">
      <dsp:nvSpPr>
        <dsp:cNvPr id="0" name=""/>
        <dsp:cNvSpPr/>
      </dsp:nvSpPr>
      <dsp:spPr>
        <a:xfrm>
          <a:off x="1815326" y="1105016"/>
          <a:ext cx="183968" cy="1665987"/>
        </a:xfrm>
        <a:custGeom>
          <a:avLst/>
          <a:gdLst/>
          <a:ahLst/>
          <a:cxnLst/>
          <a:rect l="0" t="0" r="0" b="0"/>
          <a:pathLst>
            <a:path>
              <a:moveTo>
                <a:pt x="0" y="0"/>
              </a:moveTo>
              <a:lnTo>
                <a:pt x="0" y="1665987"/>
              </a:lnTo>
              <a:lnTo>
                <a:pt x="183968" y="1665987"/>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E34E4469-C4D4-492D-AAC3-7455852064D6}">
      <dsp:nvSpPr>
        <dsp:cNvPr id="0" name=""/>
        <dsp:cNvSpPr/>
      </dsp:nvSpPr>
      <dsp:spPr>
        <a:xfrm>
          <a:off x="1815326" y="1105016"/>
          <a:ext cx="183968" cy="1048041"/>
        </a:xfrm>
        <a:custGeom>
          <a:avLst/>
          <a:gdLst/>
          <a:ahLst/>
          <a:cxnLst/>
          <a:rect l="0" t="0" r="0" b="0"/>
          <a:pathLst>
            <a:path>
              <a:moveTo>
                <a:pt x="0" y="0"/>
              </a:moveTo>
              <a:lnTo>
                <a:pt x="0" y="1048041"/>
              </a:lnTo>
              <a:lnTo>
                <a:pt x="183968"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04A7D9B0-102A-4B25-BA45-4CB53A30F751}">
      <dsp:nvSpPr>
        <dsp:cNvPr id="0" name=""/>
        <dsp:cNvSpPr/>
      </dsp:nvSpPr>
      <dsp:spPr>
        <a:xfrm>
          <a:off x="1815326" y="1105016"/>
          <a:ext cx="183968" cy="412050"/>
        </a:xfrm>
        <a:custGeom>
          <a:avLst/>
          <a:gdLst/>
          <a:ahLst/>
          <a:cxnLst/>
          <a:rect l="0" t="0" r="0" b="0"/>
          <a:pathLst>
            <a:path>
              <a:moveTo>
                <a:pt x="0" y="0"/>
              </a:moveTo>
              <a:lnTo>
                <a:pt x="0" y="412050"/>
              </a:lnTo>
              <a:lnTo>
                <a:pt x="183968"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887DBFE0-4ACF-4CC6-92A0-895A508CA6A9}">
      <dsp:nvSpPr>
        <dsp:cNvPr id="0" name=""/>
        <dsp:cNvSpPr/>
      </dsp:nvSpPr>
      <dsp:spPr>
        <a:xfrm>
          <a:off x="2260190" y="469026"/>
          <a:ext cx="91440" cy="188109"/>
        </a:xfrm>
        <a:custGeom>
          <a:avLst/>
          <a:gdLst/>
          <a:ahLst/>
          <a:cxnLst/>
          <a:rect l="0" t="0" r="0" b="0"/>
          <a:pathLst>
            <a:path>
              <a:moveTo>
                <a:pt x="45720" y="0"/>
              </a:moveTo>
              <a:lnTo>
                <a:pt x="45720" y="188109"/>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F20FC35F-2BAF-47E1-A5BB-062158034882}">
      <dsp:nvSpPr>
        <dsp:cNvPr id="0" name=""/>
        <dsp:cNvSpPr/>
      </dsp:nvSpPr>
      <dsp:spPr>
        <a:xfrm>
          <a:off x="166014" y="1105066"/>
          <a:ext cx="183968" cy="1665938"/>
        </a:xfrm>
        <a:custGeom>
          <a:avLst/>
          <a:gdLst/>
          <a:ahLst/>
          <a:cxnLst/>
          <a:rect l="0" t="0" r="0" b="0"/>
          <a:pathLst>
            <a:path>
              <a:moveTo>
                <a:pt x="0" y="0"/>
              </a:moveTo>
              <a:lnTo>
                <a:pt x="0" y="1665938"/>
              </a:lnTo>
              <a:lnTo>
                <a:pt x="183968" y="1665938"/>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7A5CA0F0-3680-48DA-96C5-8109004E4B14}">
      <dsp:nvSpPr>
        <dsp:cNvPr id="0" name=""/>
        <dsp:cNvSpPr/>
      </dsp:nvSpPr>
      <dsp:spPr>
        <a:xfrm>
          <a:off x="166014" y="1105066"/>
          <a:ext cx="183968" cy="1048041"/>
        </a:xfrm>
        <a:custGeom>
          <a:avLst/>
          <a:gdLst/>
          <a:ahLst/>
          <a:cxnLst/>
          <a:rect l="0" t="0" r="0" b="0"/>
          <a:pathLst>
            <a:path>
              <a:moveTo>
                <a:pt x="0" y="0"/>
              </a:moveTo>
              <a:lnTo>
                <a:pt x="0" y="1048041"/>
              </a:lnTo>
              <a:lnTo>
                <a:pt x="183968" y="1048041"/>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5044A669-8FAD-4708-9CEF-46F9C8162EBA}">
      <dsp:nvSpPr>
        <dsp:cNvPr id="0" name=""/>
        <dsp:cNvSpPr/>
      </dsp:nvSpPr>
      <dsp:spPr>
        <a:xfrm>
          <a:off x="166014" y="1105066"/>
          <a:ext cx="183968" cy="412050"/>
        </a:xfrm>
        <a:custGeom>
          <a:avLst/>
          <a:gdLst/>
          <a:ahLst/>
          <a:cxnLst/>
          <a:rect l="0" t="0" r="0" b="0"/>
          <a:pathLst>
            <a:path>
              <a:moveTo>
                <a:pt x="0" y="0"/>
              </a:moveTo>
              <a:lnTo>
                <a:pt x="0" y="412050"/>
              </a:lnTo>
              <a:lnTo>
                <a:pt x="183968" y="412050"/>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88B74A10-592B-484C-B5A5-5BFFC47F5ADC}">
      <dsp:nvSpPr>
        <dsp:cNvPr id="0" name=""/>
        <dsp:cNvSpPr/>
      </dsp:nvSpPr>
      <dsp:spPr>
        <a:xfrm>
          <a:off x="656597" y="469026"/>
          <a:ext cx="1649312" cy="188159"/>
        </a:xfrm>
        <a:custGeom>
          <a:avLst/>
          <a:gdLst/>
          <a:ahLst/>
          <a:cxnLst/>
          <a:rect l="0" t="0" r="0" b="0"/>
          <a:pathLst>
            <a:path>
              <a:moveTo>
                <a:pt x="1649312" y="0"/>
              </a:moveTo>
              <a:lnTo>
                <a:pt x="1649312" y="94104"/>
              </a:lnTo>
              <a:lnTo>
                <a:pt x="0" y="94104"/>
              </a:lnTo>
              <a:lnTo>
                <a:pt x="0" y="188159"/>
              </a:lnTo>
            </a:path>
          </a:pathLst>
        </a:custGeom>
        <a:noFill/>
        <a:ln w="12700" cap="flat" cmpd="sng" algn="ctr">
          <a:solidFill>
            <a:srgbClr val="668097"/>
          </a:solidFill>
          <a:prstDash val="solid"/>
          <a:miter lim="800000"/>
        </a:ln>
        <a:effectLst/>
      </dsp:spPr>
      <dsp:style>
        <a:lnRef idx="2">
          <a:scrgbClr r="0" g="0" b="0"/>
        </a:lnRef>
        <a:fillRef idx="0">
          <a:scrgbClr r="0" g="0" b="0"/>
        </a:fillRef>
        <a:effectRef idx="0">
          <a:scrgbClr r="0" g="0" b="0"/>
        </a:effectRef>
        <a:fontRef idx="minor"/>
      </dsp:style>
    </dsp:sp>
    <dsp:sp modelId="{AF3F8A83-F8BF-4CA9-A47F-4A0FBA0473F1}">
      <dsp:nvSpPr>
        <dsp:cNvPr id="0" name=""/>
        <dsp:cNvSpPr/>
      </dsp:nvSpPr>
      <dsp:spPr>
        <a:xfrm>
          <a:off x="1692680" y="21145"/>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Chief Procurement Officer</a:t>
          </a:r>
        </a:p>
      </dsp:txBody>
      <dsp:txXfrm>
        <a:off x="1692680" y="21145"/>
        <a:ext cx="1226458" cy="447880"/>
      </dsp:txXfrm>
    </dsp:sp>
    <dsp:sp modelId="{909E7374-5D35-4741-BED3-AB47C5E01242}">
      <dsp:nvSpPr>
        <dsp:cNvPr id="0" name=""/>
        <dsp:cNvSpPr/>
      </dsp:nvSpPr>
      <dsp:spPr>
        <a:xfrm>
          <a:off x="43368" y="657185"/>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Category Manager</a:t>
          </a:r>
        </a:p>
      </dsp:txBody>
      <dsp:txXfrm>
        <a:off x="43368" y="657185"/>
        <a:ext cx="1226458" cy="447880"/>
      </dsp:txXfrm>
    </dsp:sp>
    <dsp:sp modelId="{476EBCBE-E461-4C23-9C9A-84542CFC9CA6}">
      <dsp:nvSpPr>
        <dsp:cNvPr id="0" name=""/>
        <dsp:cNvSpPr/>
      </dsp:nvSpPr>
      <dsp:spPr>
        <a:xfrm>
          <a:off x="349983" y="129317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Procurement Manager</a:t>
          </a:r>
        </a:p>
      </dsp:txBody>
      <dsp:txXfrm>
        <a:off x="349983" y="1293176"/>
        <a:ext cx="1226458" cy="447880"/>
      </dsp:txXfrm>
    </dsp:sp>
    <dsp:sp modelId="{135737A5-F209-4B90-A95B-9171FBD22361}">
      <dsp:nvSpPr>
        <dsp:cNvPr id="0" name=""/>
        <dsp:cNvSpPr/>
      </dsp:nvSpPr>
      <dsp:spPr>
        <a:xfrm>
          <a:off x="349983" y="192916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Contract Manager</a:t>
          </a:r>
        </a:p>
      </dsp:txBody>
      <dsp:txXfrm>
        <a:off x="349983" y="1929166"/>
        <a:ext cx="1226458" cy="447880"/>
      </dsp:txXfrm>
    </dsp:sp>
    <dsp:sp modelId="{1EB3158A-354F-4344-B517-C3644AAF5321}">
      <dsp:nvSpPr>
        <dsp:cNvPr id="0" name=""/>
        <dsp:cNvSpPr/>
      </dsp:nvSpPr>
      <dsp:spPr>
        <a:xfrm>
          <a:off x="349983"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Sustainability Manager</a:t>
          </a:r>
        </a:p>
      </dsp:txBody>
      <dsp:txXfrm>
        <a:off x="349983" y="2547064"/>
        <a:ext cx="1226458" cy="447880"/>
      </dsp:txXfrm>
    </dsp:sp>
    <dsp:sp modelId="{6F3F4925-07E2-48C1-B609-11088F5175DD}">
      <dsp:nvSpPr>
        <dsp:cNvPr id="0" name=""/>
        <dsp:cNvSpPr/>
      </dsp:nvSpPr>
      <dsp:spPr>
        <a:xfrm>
          <a:off x="1692680" y="65713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Category Manager</a:t>
          </a:r>
        </a:p>
      </dsp:txBody>
      <dsp:txXfrm>
        <a:off x="1692680" y="657136"/>
        <a:ext cx="1226458" cy="447880"/>
      </dsp:txXfrm>
    </dsp:sp>
    <dsp:sp modelId="{9582B8F0-5AC6-4780-82CE-E7021459A554}">
      <dsp:nvSpPr>
        <dsp:cNvPr id="0" name=""/>
        <dsp:cNvSpPr/>
      </dsp:nvSpPr>
      <dsp:spPr>
        <a:xfrm>
          <a:off x="1999295" y="1293126"/>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Procurement Manager</a:t>
          </a:r>
        </a:p>
      </dsp:txBody>
      <dsp:txXfrm>
        <a:off x="1999295" y="1293126"/>
        <a:ext cx="1226458" cy="447880"/>
      </dsp:txXfrm>
    </dsp:sp>
    <dsp:sp modelId="{84C925DB-8C98-4DF8-A4A5-B6EEB66F17FC}">
      <dsp:nvSpPr>
        <dsp:cNvPr id="0" name=""/>
        <dsp:cNvSpPr/>
      </dsp:nvSpPr>
      <dsp:spPr>
        <a:xfrm>
          <a:off x="1999295" y="1929117"/>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Contract Manager</a:t>
          </a:r>
        </a:p>
      </dsp:txBody>
      <dsp:txXfrm>
        <a:off x="1999295" y="1929117"/>
        <a:ext cx="1226458" cy="447880"/>
      </dsp:txXfrm>
    </dsp:sp>
    <dsp:sp modelId="{AF9A6074-23E3-4C97-82D5-53CB762AA937}">
      <dsp:nvSpPr>
        <dsp:cNvPr id="0" name=""/>
        <dsp:cNvSpPr/>
      </dsp:nvSpPr>
      <dsp:spPr>
        <a:xfrm>
          <a:off x="1999295"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Sustainability Manager</a:t>
          </a:r>
        </a:p>
      </dsp:txBody>
      <dsp:txXfrm>
        <a:off x="1999295" y="2547064"/>
        <a:ext cx="1226458" cy="447880"/>
      </dsp:txXfrm>
    </dsp:sp>
    <dsp:sp modelId="{9F001196-B294-4AF4-8F8D-9890207D3B5F}">
      <dsp:nvSpPr>
        <dsp:cNvPr id="0" name=""/>
        <dsp:cNvSpPr/>
      </dsp:nvSpPr>
      <dsp:spPr>
        <a:xfrm>
          <a:off x="3332211" y="657633"/>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Category Manager</a:t>
          </a:r>
        </a:p>
      </dsp:txBody>
      <dsp:txXfrm>
        <a:off x="3332211" y="657633"/>
        <a:ext cx="1226458" cy="447880"/>
      </dsp:txXfrm>
    </dsp:sp>
    <dsp:sp modelId="{0A148E9D-A343-4E73-8F9C-703B084F2FBA}">
      <dsp:nvSpPr>
        <dsp:cNvPr id="0" name=""/>
        <dsp:cNvSpPr/>
      </dsp:nvSpPr>
      <dsp:spPr>
        <a:xfrm>
          <a:off x="3633196" y="129362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Procurement Manager</a:t>
          </a:r>
        </a:p>
      </dsp:txBody>
      <dsp:txXfrm>
        <a:off x="3633196" y="1293624"/>
        <a:ext cx="1226458" cy="447880"/>
      </dsp:txXfrm>
    </dsp:sp>
    <dsp:sp modelId="{E3AAC145-5E8E-443A-9AF2-D4ACE0673FB4}">
      <dsp:nvSpPr>
        <dsp:cNvPr id="0" name=""/>
        <dsp:cNvSpPr/>
      </dsp:nvSpPr>
      <dsp:spPr>
        <a:xfrm>
          <a:off x="3633196" y="192961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Contract Manager</a:t>
          </a:r>
        </a:p>
      </dsp:txBody>
      <dsp:txXfrm>
        <a:off x="3633196" y="1929614"/>
        <a:ext cx="1226458" cy="447880"/>
      </dsp:txXfrm>
    </dsp:sp>
    <dsp:sp modelId="{8BE5D0AA-BE36-4930-A7AD-41F38C99368F}">
      <dsp:nvSpPr>
        <dsp:cNvPr id="0" name=""/>
        <dsp:cNvSpPr/>
      </dsp:nvSpPr>
      <dsp:spPr>
        <a:xfrm>
          <a:off x="3633196" y="2547064"/>
          <a:ext cx="1226458" cy="447880"/>
        </a:xfrm>
        <a:prstGeom prst="rect">
          <a:avLst/>
        </a:prstGeom>
        <a:solidFill>
          <a:srgbClr val="6680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t>Sustainability Manager</a:t>
          </a:r>
        </a:p>
      </dsp:txBody>
      <dsp:txXfrm>
        <a:off x="3633196" y="2547064"/>
        <a:ext cx="1226458" cy="4478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2.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3.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381DA-A8C6-43B1-B84E-D9B55795A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1796</TotalTime>
  <Pages>14</Pages>
  <Words>3718</Words>
  <Characters>19711</Characters>
  <Application>Microsoft Office Word</Application>
  <DocSecurity>0</DocSecurity>
  <Lines>164</Lines>
  <Paragraphs>46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23383</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76</cp:revision>
  <cp:lastPrinted>2022-11-03T16:45:00Z</cp:lastPrinted>
  <dcterms:created xsi:type="dcterms:W3CDTF">2025-04-08T15:59:00Z</dcterms:created>
  <dcterms:modified xsi:type="dcterms:W3CDTF">2025-05-14T13:54:00Z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